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6F66" w14:textId="77777777" w:rsidR="00A6769F" w:rsidRPr="00240322" w:rsidRDefault="004F451A" w:rsidP="00A6769F">
      <w:pPr>
        <w:widowControl w:val="0"/>
        <w:spacing w:after="0"/>
        <w:jc w:val="left"/>
        <w:outlineLvl w:val="0"/>
        <w:rPr>
          <w:rFonts w:ascii="Arial" w:eastAsia="Times New Roman" w:hAnsi="Arial" w:cs="Arial"/>
          <w:b/>
          <w:snapToGrid w:val="0"/>
          <w:sz w:val="24"/>
          <w:szCs w:val="24"/>
        </w:rPr>
      </w:pPr>
      <w:r>
        <w:rPr>
          <w:rFonts w:ascii="Times New Roman" w:eastAsia="Times New Roman" w:hAnsi="Times New Roman" w:cs="Times New Roman"/>
          <w:b/>
          <w:snapToGrid w:val="0"/>
          <w:sz w:val="24"/>
          <w:szCs w:val="20"/>
        </w:rPr>
        <w:t xml:space="preserve"> </w:t>
      </w:r>
      <w:r w:rsidR="00BD67D4">
        <w:rPr>
          <w:rFonts w:ascii="Times New Roman" w:eastAsia="Times New Roman" w:hAnsi="Times New Roman" w:cs="Times New Roman"/>
          <w:b/>
          <w:snapToGrid w:val="0"/>
          <w:sz w:val="24"/>
          <w:szCs w:val="20"/>
        </w:rPr>
        <w:t xml:space="preserve">  </w:t>
      </w:r>
    </w:p>
    <w:p w14:paraId="5E3E7046" w14:textId="77777777" w:rsidR="00A6769F" w:rsidRPr="00240322" w:rsidRDefault="00A6769F" w:rsidP="00A6769F">
      <w:pPr>
        <w:jc w:val="right"/>
        <w:rPr>
          <w:rFonts w:ascii="Arial" w:hAnsi="Arial" w:cs="Arial"/>
          <w:sz w:val="24"/>
          <w:szCs w:val="24"/>
        </w:rPr>
      </w:pPr>
      <w:r w:rsidRPr="00240322">
        <w:rPr>
          <w:rFonts w:ascii="Arial" w:hAnsi="Arial" w:cs="Arial"/>
          <w:sz w:val="24"/>
          <w:szCs w:val="24"/>
        </w:rPr>
        <w:t>CFDA 14.239</w:t>
      </w:r>
    </w:p>
    <w:p w14:paraId="1C660D91" w14:textId="77777777" w:rsidR="00A6769F" w:rsidRPr="00DE315E" w:rsidRDefault="00A6769F" w:rsidP="00240322">
      <w:pPr>
        <w:spacing w:after="0"/>
        <w:rPr>
          <w:rFonts w:ascii="Arial" w:hAnsi="Arial" w:cs="Arial"/>
          <w:b/>
          <w:sz w:val="24"/>
          <w:szCs w:val="24"/>
        </w:rPr>
      </w:pPr>
      <w:r w:rsidRPr="00DE315E">
        <w:rPr>
          <w:rFonts w:ascii="Arial" w:hAnsi="Arial" w:cs="Arial"/>
          <w:b/>
          <w:sz w:val="24"/>
          <w:szCs w:val="24"/>
        </w:rPr>
        <w:t>Intergovernmental Agreement</w:t>
      </w:r>
    </w:p>
    <w:p w14:paraId="122328E1" w14:textId="16C3B20F" w:rsidR="00A6769F" w:rsidRPr="00DE315E" w:rsidRDefault="00A6769F" w:rsidP="00240322">
      <w:pPr>
        <w:spacing w:after="0"/>
        <w:rPr>
          <w:rFonts w:ascii="Arial" w:hAnsi="Arial" w:cs="Arial"/>
          <w:b/>
          <w:sz w:val="24"/>
          <w:szCs w:val="24"/>
        </w:rPr>
      </w:pPr>
      <w:r w:rsidRPr="00DE315E">
        <w:rPr>
          <w:rFonts w:ascii="Arial" w:hAnsi="Arial" w:cs="Arial"/>
          <w:b/>
          <w:sz w:val="24"/>
          <w:szCs w:val="24"/>
        </w:rPr>
        <w:t xml:space="preserve">City of Gresham Agreement No. </w:t>
      </w:r>
      <w:r w:rsidR="007B5A0E">
        <w:rPr>
          <w:rFonts w:ascii="Arial" w:hAnsi="Arial" w:cs="Arial"/>
          <w:b/>
          <w:sz w:val="24"/>
          <w:szCs w:val="24"/>
        </w:rPr>
        <w:t>310999</w:t>
      </w:r>
    </w:p>
    <w:p w14:paraId="69E3F1DD" w14:textId="771BF360" w:rsidR="00A6769F" w:rsidRPr="00DE315E" w:rsidRDefault="00A6769F" w:rsidP="00240322">
      <w:pPr>
        <w:spacing w:after="0"/>
        <w:rPr>
          <w:rFonts w:ascii="Arial" w:hAnsi="Arial" w:cs="Arial"/>
          <w:b/>
          <w:sz w:val="24"/>
          <w:szCs w:val="24"/>
          <w:u w:val="single"/>
        </w:rPr>
      </w:pPr>
      <w:r w:rsidRPr="00DE315E">
        <w:rPr>
          <w:rFonts w:ascii="Arial" w:hAnsi="Arial" w:cs="Arial"/>
          <w:b/>
          <w:sz w:val="24"/>
          <w:szCs w:val="24"/>
        </w:rPr>
        <w:t xml:space="preserve">City of Portland Agreement No. </w:t>
      </w:r>
      <w:r w:rsidR="003F3159">
        <w:rPr>
          <w:rFonts w:ascii="Arial" w:hAnsi="Arial" w:cs="Arial"/>
          <w:b/>
          <w:sz w:val="24"/>
          <w:szCs w:val="24"/>
        </w:rPr>
        <w:t>30007797</w:t>
      </w:r>
    </w:p>
    <w:p w14:paraId="68C298FA" w14:textId="77777777" w:rsidR="00A6769F" w:rsidRPr="00240322" w:rsidRDefault="00A6769F" w:rsidP="00A6769F">
      <w:pPr>
        <w:rPr>
          <w:rFonts w:ascii="Arial" w:hAnsi="Arial" w:cs="Arial"/>
          <w:sz w:val="24"/>
          <w:szCs w:val="24"/>
        </w:rPr>
      </w:pPr>
    </w:p>
    <w:p w14:paraId="0C73AC07" w14:textId="77777777" w:rsidR="00A6769F" w:rsidRPr="00240322" w:rsidRDefault="00A6769F" w:rsidP="00240322">
      <w:pPr>
        <w:ind w:firstLine="720"/>
        <w:jc w:val="left"/>
        <w:rPr>
          <w:rFonts w:ascii="Arial" w:hAnsi="Arial" w:cs="Arial"/>
          <w:sz w:val="24"/>
          <w:szCs w:val="24"/>
        </w:rPr>
      </w:pPr>
      <w:r w:rsidRPr="00240322">
        <w:rPr>
          <w:rFonts w:ascii="Arial" w:hAnsi="Arial" w:cs="Arial"/>
          <w:color w:val="000000"/>
          <w:sz w:val="24"/>
          <w:szCs w:val="24"/>
        </w:rPr>
        <w:t>This intergovernmental agreement (IGA) is entered into by and between the City of Portland (</w:t>
      </w:r>
      <w:r w:rsidR="000E4DDA">
        <w:rPr>
          <w:rFonts w:ascii="Arial" w:hAnsi="Arial" w:cs="Arial"/>
          <w:color w:val="000000"/>
          <w:sz w:val="24"/>
          <w:szCs w:val="24"/>
        </w:rPr>
        <w:t>hereinafter referred to as the “</w:t>
      </w:r>
      <w:r w:rsidRPr="00240322">
        <w:rPr>
          <w:rFonts w:ascii="Arial" w:hAnsi="Arial" w:cs="Arial"/>
          <w:color w:val="000000"/>
          <w:sz w:val="24"/>
          <w:szCs w:val="24"/>
        </w:rPr>
        <w:t>City</w:t>
      </w:r>
      <w:r w:rsidR="000E4DDA">
        <w:rPr>
          <w:rFonts w:ascii="Arial" w:hAnsi="Arial" w:cs="Arial"/>
          <w:color w:val="000000"/>
          <w:sz w:val="24"/>
          <w:szCs w:val="24"/>
        </w:rPr>
        <w:t>”</w:t>
      </w:r>
      <w:r w:rsidRPr="00240322">
        <w:rPr>
          <w:rFonts w:ascii="Arial" w:hAnsi="Arial" w:cs="Arial"/>
          <w:color w:val="000000"/>
          <w:sz w:val="24"/>
          <w:szCs w:val="24"/>
        </w:rPr>
        <w:t xml:space="preserve">) acting by and through its Portland Housing Bureau </w:t>
      </w:r>
      <w:r w:rsidR="000E4DDA">
        <w:rPr>
          <w:rFonts w:ascii="Arial" w:hAnsi="Arial" w:cs="Arial"/>
          <w:color w:val="000000"/>
          <w:sz w:val="24"/>
          <w:szCs w:val="24"/>
        </w:rPr>
        <w:t>(</w:t>
      </w:r>
      <w:r w:rsidRPr="00240322">
        <w:rPr>
          <w:rFonts w:ascii="Arial" w:hAnsi="Arial" w:cs="Arial"/>
          <w:color w:val="000000"/>
          <w:sz w:val="24"/>
          <w:szCs w:val="24"/>
        </w:rPr>
        <w:t>here</w:t>
      </w:r>
      <w:r w:rsidR="000E4DDA">
        <w:rPr>
          <w:rFonts w:ascii="Arial" w:hAnsi="Arial" w:cs="Arial"/>
          <w:color w:val="000000"/>
          <w:sz w:val="24"/>
          <w:szCs w:val="24"/>
        </w:rPr>
        <w:t>in</w:t>
      </w:r>
      <w:r w:rsidRPr="00240322">
        <w:rPr>
          <w:rFonts w:ascii="Arial" w:hAnsi="Arial" w:cs="Arial"/>
          <w:color w:val="000000"/>
          <w:sz w:val="24"/>
          <w:szCs w:val="24"/>
        </w:rPr>
        <w:t xml:space="preserve">after </w:t>
      </w:r>
      <w:r w:rsidR="000E4DDA">
        <w:rPr>
          <w:rFonts w:ascii="Arial" w:hAnsi="Arial" w:cs="Arial"/>
          <w:color w:val="000000"/>
          <w:sz w:val="24"/>
          <w:szCs w:val="24"/>
        </w:rPr>
        <w:t>referred to as “</w:t>
      </w:r>
      <w:r w:rsidRPr="00240322">
        <w:rPr>
          <w:rFonts w:ascii="Arial" w:hAnsi="Arial" w:cs="Arial"/>
          <w:color w:val="000000"/>
          <w:sz w:val="24"/>
          <w:szCs w:val="24"/>
        </w:rPr>
        <w:t>PHB</w:t>
      </w:r>
      <w:r w:rsidR="000E4DDA">
        <w:rPr>
          <w:rFonts w:ascii="Arial" w:hAnsi="Arial" w:cs="Arial"/>
          <w:color w:val="000000"/>
          <w:sz w:val="24"/>
          <w:szCs w:val="24"/>
        </w:rPr>
        <w:t>”)</w:t>
      </w:r>
      <w:r w:rsidR="00C35F3E">
        <w:rPr>
          <w:rFonts w:ascii="Arial" w:hAnsi="Arial" w:cs="Arial"/>
          <w:color w:val="000000"/>
          <w:sz w:val="24"/>
          <w:szCs w:val="24"/>
        </w:rPr>
        <w:t xml:space="preserve">, </w:t>
      </w:r>
      <w:r w:rsidRPr="00240322">
        <w:rPr>
          <w:rFonts w:ascii="Arial" w:hAnsi="Arial" w:cs="Arial"/>
          <w:color w:val="000000"/>
          <w:sz w:val="24"/>
          <w:szCs w:val="24"/>
        </w:rPr>
        <w:t>and the City of Gresham (</w:t>
      </w:r>
      <w:r w:rsidR="000E4DDA">
        <w:rPr>
          <w:rFonts w:ascii="Arial" w:hAnsi="Arial" w:cs="Arial"/>
          <w:color w:val="000000"/>
          <w:sz w:val="24"/>
          <w:szCs w:val="24"/>
        </w:rPr>
        <w:t>hereinafter referred to as “</w:t>
      </w:r>
      <w:r w:rsidRPr="00240322">
        <w:rPr>
          <w:rFonts w:ascii="Arial" w:hAnsi="Arial" w:cs="Arial"/>
          <w:color w:val="000000"/>
          <w:sz w:val="24"/>
          <w:szCs w:val="24"/>
        </w:rPr>
        <w:t>Gresham</w:t>
      </w:r>
      <w:r w:rsidR="000E4DDA">
        <w:rPr>
          <w:rFonts w:ascii="Arial" w:hAnsi="Arial" w:cs="Arial"/>
          <w:color w:val="000000"/>
          <w:sz w:val="24"/>
          <w:szCs w:val="24"/>
        </w:rPr>
        <w:t>”</w:t>
      </w:r>
      <w:r w:rsidRPr="00240322">
        <w:rPr>
          <w:rFonts w:ascii="Arial" w:hAnsi="Arial" w:cs="Arial"/>
          <w:color w:val="000000"/>
          <w:sz w:val="24"/>
          <w:szCs w:val="24"/>
        </w:rPr>
        <w:t xml:space="preserve"> or </w:t>
      </w:r>
      <w:r w:rsidR="00C35F3E">
        <w:rPr>
          <w:rFonts w:ascii="Arial" w:hAnsi="Arial" w:cs="Arial"/>
          <w:color w:val="000000"/>
          <w:sz w:val="24"/>
          <w:szCs w:val="24"/>
        </w:rPr>
        <w:t>“</w:t>
      </w:r>
      <w:r w:rsidRPr="00240322">
        <w:rPr>
          <w:rFonts w:ascii="Arial" w:hAnsi="Arial" w:cs="Arial"/>
          <w:color w:val="000000"/>
          <w:sz w:val="24"/>
          <w:szCs w:val="24"/>
        </w:rPr>
        <w:t>Sub-recipient</w:t>
      </w:r>
      <w:r w:rsidR="00C35F3E">
        <w:rPr>
          <w:rFonts w:ascii="Arial" w:hAnsi="Arial" w:cs="Arial"/>
          <w:color w:val="000000"/>
          <w:sz w:val="24"/>
          <w:szCs w:val="24"/>
        </w:rPr>
        <w:t>”</w:t>
      </w:r>
      <w:r w:rsidRPr="00240322">
        <w:rPr>
          <w:rFonts w:ascii="Arial" w:hAnsi="Arial" w:cs="Arial"/>
          <w:color w:val="000000"/>
          <w:sz w:val="24"/>
          <w:szCs w:val="24"/>
        </w:rPr>
        <w:t>)</w:t>
      </w:r>
      <w:r w:rsidR="00DC6F27" w:rsidRPr="00240322">
        <w:rPr>
          <w:rFonts w:ascii="Arial" w:hAnsi="Arial" w:cs="Arial"/>
          <w:color w:val="000000"/>
          <w:sz w:val="24"/>
          <w:szCs w:val="24"/>
        </w:rPr>
        <w:t xml:space="preserve"> (hereinafter referred to collectively as the “Parties”)</w:t>
      </w:r>
      <w:r w:rsidRPr="00240322">
        <w:rPr>
          <w:rFonts w:ascii="Arial" w:hAnsi="Arial" w:cs="Arial"/>
          <w:color w:val="000000"/>
          <w:sz w:val="24"/>
          <w:szCs w:val="24"/>
        </w:rPr>
        <w:t xml:space="preserve"> for implementation of activities under the HOME Investment Partnership Program of the U.S. Department of Housing and Urban Development and the cooperation of units of local government under the authorit</w:t>
      </w:r>
      <w:r w:rsidRPr="00240322">
        <w:rPr>
          <w:rFonts w:ascii="Arial" w:hAnsi="Arial" w:cs="Arial"/>
          <w:sz w:val="24"/>
          <w:szCs w:val="24"/>
        </w:rPr>
        <w:t>y of ORS 191.010.</w:t>
      </w:r>
    </w:p>
    <w:p w14:paraId="4C9B5006" w14:textId="77777777" w:rsidR="008139B4" w:rsidRPr="00240322" w:rsidRDefault="008139B4" w:rsidP="00DC6F27">
      <w:pPr>
        <w:ind w:left="720" w:hanging="720"/>
        <w:jc w:val="left"/>
        <w:rPr>
          <w:rFonts w:ascii="Arial" w:hAnsi="Arial" w:cs="Arial"/>
          <w:sz w:val="24"/>
          <w:szCs w:val="24"/>
        </w:rPr>
      </w:pPr>
      <w:r w:rsidRPr="00240322">
        <w:rPr>
          <w:rFonts w:ascii="Arial" w:hAnsi="Arial" w:cs="Arial"/>
          <w:sz w:val="24"/>
          <w:szCs w:val="24"/>
        </w:rPr>
        <w:t>Whereas the City of Portland and the City of Gresham have agreed to participate in the Portland HOME Consortium and entered into an intergovernmental agreement setting forth the terms and conditions of the Portland HOME Consortium;</w:t>
      </w:r>
    </w:p>
    <w:p w14:paraId="7D59DAF4" w14:textId="77777777" w:rsidR="008139B4" w:rsidRPr="00240322" w:rsidRDefault="008139B4" w:rsidP="00DC6F27">
      <w:pPr>
        <w:ind w:left="720" w:hanging="720"/>
        <w:jc w:val="left"/>
        <w:rPr>
          <w:rFonts w:ascii="Arial" w:hAnsi="Arial" w:cs="Arial"/>
          <w:sz w:val="24"/>
          <w:szCs w:val="24"/>
        </w:rPr>
      </w:pPr>
      <w:r w:rsidRPr="00240322">
        <w:rPr>
          <w:rFonts w:ascii="Arial" w:hAnsi="Arial" w:cs="Arial"/>
          <w:sz w:val="24"/>
          <w:szCs w:val="24"/>
        </w:rPr>
        <w:t xml:space="preserve">Whereas the City of Portland is the Representative Member of the Portland HOME Consortium and with responsibility to carry out overall responsibility of the Portland HOME Consortium, with cooperation of all members, in accordance with HUD regulations in 24 CFR Part 92 and 91, respectively, and the Consolidated Plan. </w:t>
      </w:r>
    </w:p>
    <w:p w14:paraId="7B31CE9A" w14:textId="77777777" w:rsidR="008139B4" w:rsidRPr="00240322" w:rsidRDefault="008139B4" w:rsidP="00DC6F27">
      <w:pPr>
        <w:ind w:left="720" w:hanging="720"/>
        <w:jc w:val="left"/>
        <w:rPr>
          <w:rFonts w:ascii="Arial" w:hAnsi="Arial" w:cs="Arial"/>
          <w:sz w:val="24"/>
          <w:szCs w:val="24"/>
        </w:rPr>
      </w:pPr>
      <w:r w:rsidRPr="00240322">
        <w:rPr>
          <w:rFonts w:ascii="Arial" w:hAnsi="Arial" w:cs="Arial"/>
          <w:sz w:val="24"/>
          <w:szCs w:val="24"/>
        </w:rPr>
        <w:t xml:space="preserve">Whereas the City of Gresham is a member </w:t>
      </w:r>
      <w:r w:rsidR="00386451">
        <w:rPr>
          <w:rFonts w:ascii="Arial" w:hAnsi="Arial" w:cs="Arial"/>
          <w:sz w:val="24"/>
          <w:szCs w:val="24"/>
        </w:rPr>
        <w:t xml:space="preserve">of the Portland HOME Consortium </w:t>
      </w:r>
      <w:r w:rsidRPr="00240322">
        <w:rPr>
          <w:rFonts w:ascii="Arial" w:hAnsi="Arial" w:cs="Arial"/>
          <w:sz w:val="24"/>
          <w:szCs w:val="24"/>
        </w:rPr>
        <w:t>along with Multnomah Count</w:t>
      </w:r>
      <w:r w:rsidR="00DC6F27" w:rsidRPr="00240322">
        <w:rPr>
          <w:rFonts w:ascii="Arial" w:hAnsi="Arial" w:cs="Arial"/>
          <w:sz w:val="24"/>
          <w:szCs w:val="24"/>
        </w:rPr>
        <w:t>y</w:t>
      </w:r>
      <w:r w:rsidR="00386451">
        <w:rPr>
          <w:rFonts w:ascii="Arial" w:hAnsi="Arial" w:cs="Arial"/>
          <w:sz w:val="24"/>
          <w:szCs w:val="24"/>
        </w:rPr>
        <w:t>,</w:t>
      </w:r>
      <w:r w:rsidRPr="00240322">
        <w:rPr>
          <w:rFonts w:ascii="Arial" w:hAnsi="Arial" w:cs="Arial"/>
          <w:sz w:val="24"/>
          <w:szCs w:val="24"/>
        </w:rPr>
        <w:t xml:space="preserve"> and the </w:t>
      </w:r>
      <w:r w:rsidR="00DC6F27" w:rsidRPr="00240322">
        <w:rPr>
          <w:rFonts w:ascii="Arial" w:hAnsi="Arial" w:cs="Arial"/>
          <w:sz w:val="24"/>
          <w:szCs w:val="24"/>
        </w:rPr>
        <w:t>formula</w:t>
      </w:r>
      <w:r w:rsidRPr="00240322">
        <w:rPr>
          <w:rFonts w:ascii="Arial" w:hAnsi="Arial" w:cs="Arial"/>
          <w:sz w:val="24"/>
          <w:szCs w:val="24"/>
        </w:rPr>
        <w:t xml:space="preserve"> for allocating HOME funds to each member is described in the Portland HOME Consortium Agreement;</w:t>
      </w:r>
    </w:p>
    <w:p w14:paraId="40CFF5D6" w14:textId="3DDC60BA" w:rsidR="00DC6F27" w:rsidRPr="004C557A" w:rsidRDefault="00DC6F27" w:rsidP="00DC6F27">
      <w:pPr>
        <w:ind w:left="720" w:hanging="720"/>
        <w:jc w:val="left"/>
        <w:rPr>
          <w:rFonts w:ascii="Arial" w:hAnsi="Arial" w:cs="Arial"/>
          <w:sz w:val="24"/>
          <w:szCs w:val="24"/>
        </w:rPr>
      </w:pPr>
      <w:r w:rsidRPr="00240322">
        <w:rPr>
          <w:rFonts w:ascii="Arial" w:hAnsi="Arial" w:cs="Arial"/>
          <w:sz w:val="24"/>
          <w:szCs w:val="24"/>
        </w:rPr>
        <w:t>Whereas</w:t>
      </w:r>
      <w:r w:rsidR="008139B4" w:rsidRPr="00240322">
        <w:rPr>
          <w:rFonts w:ascii="Arial" w:hAnsi="Arial" w:cs="Arial"/>
          <w:sz w:val="24"/>
          <w:szCs w:val="24"/>
        </w:rPr>
        <w:t xml:space="preserve"> th</w:t>
      </w:r>
      <w:r w:rsidR="00F84543">
        <w:rPr>
          <w:rFonts w:ascii="Arial" w:hAnsi="Arial" w:cs="Arial"/>
          <w:sz w:val="24"/>
          <w:szCs w:val="24"/>
        </w:rPr>
        <w:t>e purpose of th</w:t>
      </w:r>
      <w:r w:rsidR="008139B4" w:rsidRPr="00240322">
        <w:rPr>
          <w:rFonts w:ascii="Arial" w:hAnsi="Arial" w:cs="Arial"/>
          <w:sz w:val="24"/>
          <w:szCs w:val="24"/>
        </w:rPr>
        <w:t xml:space="preserve">is intergovernmental agreement is to </w:t>
      </w:r>
      <w:r w:rsidR="00F84543">
        <w:rPr>
          <w:rFonts w:ascii="Arial" w:hAnsi="Arial" w:cs="Arial"/>
          <w:sz w:val="24"/>
          <w:szCs w:val="24"/>
        </w:rPr>
        <w:t xml:space="preserve">describe the responsibilities of the parties and </w:t>
      </w:r>
      <w:r w:rsidR="008139B4" w:rsidRPr="00240322">
        <w:rPr>
          <w:rFonts w:ascii="Arial" w:hAnsi="Arial" w:cs="Arial"/>
          <w:sz w:val="24"/>
          <w:szCs w:val="24"/>
        </w:rPr>
        <w:t>specify how the</w:t>
      </w:r>
      <w:r w:rsidRPr="00240322">
        <w:rPr>
          <w:rFonts w:ascii="Arial" w:hAnsi="Arial" w:cs="Arial"/>
          <w:sz w:val="24"/>
          <w:szCs w:val="24"/>
        </w:rPr>
        <w:t xml:space="preserve"> City of Gresham will allocate its </w:t>
      </w:r>
      <w:r w:rsidR="00386451">
        <w:rPr>
          <w:rFonts w:ascii="Arial" w:hAnsi="Arial" w:cs="Arial"/>
          <w:sz w:val="24"/>
          <w:szCs w:val="24"/>
        </w:rPr>
        <w:t xml:space="preserve">Portland HOME Consortium </w:t>
      </w:r>
      <w:r w:rsidRPr="00240322">
        <w:rPr>
          <w:rFonts w:ascii="Arial" w:hAnsi="Arial" w:cs="Arial"/>
          <w:sz w:val="24"/>
          <w:szCs w:val="24"/>
        </w:rPr>
        <w:t xml:space="preserve">grant award for </w:t>
      </w:r>
      <w:r w:rsidRPr="00070E6A">
        <w:rPr>
          <w:rFonts w:ascii="Arial" w:hAnsi="Arial" w:cs="Arial"/>
          <w:sz w:val="24"/>
          <w:szCs w:val="24"/>
        </w:rPr>
        <w:t xml:space="preserve">the </w:t>
      </w:r>
      <w:r w:rsidRPr="004C557A">
        <w:rPr>
          <w:rFonts w:ascii="Arial" w:hAnsi="Arial" w:cs="Arial"/>
          <w:sz w:val="24"/>
          <w:szCs w:val="24"/>
        </w:rPr>
        <w:t>FY 20</w:t>
      </w:r>
      <w:r w:rsidR="006E3C20" w:rsidRPr="004C557A">
        <w:rPr>
          <w:rFonts w:ascii="Arial" w:hAnsi="Arial" w:cs="Arial"/>
          <w:sz w:val="24"/>
          <w:szCs w:val="24"/>
        </w:rPr>
        <w:t>2</w:t>
      </w:r>
      <w:r w:rsidR="008C548C" w:rsidRPr="004C557A">
        <w:rPr>
          <w:rFonts w:ascii="Arial" w:hAnsi="Arial" w:cs="Arial"/>
          <w:sz w:val="24"/>
          <w:szCs w:val="24"/>
        </w:rPr>
        <w:t>1</w:t>
      </w:r>
      <w:r w:rsidRPr="004C557A">
        <w:rPr>
          <w:rFonts w:ascii="Arial" w:hAnsi="Arial" w:cs="Arial"/>
          <w:sz w:val="24"/>
          <w:szCs w:val="24"/>
        </w:rPr>
        <w:t>-</w:t>
      </w:r>
      <w:r w:rsidR="00B1764C" w:rsidRPr="004C557A">
        <w:rPr>
          <w:rFonts w:ascii="Arial" w:hAnsi="Arial" w:cs="Arial"/>
          <w:sz w:val="24"/>
          <w:szCs w:val="24"/>
        </w:rPr>
        <w:t>2</w:t>
      </w:r>
      <w:r w:rsidR="008C548C" w:rsidRPr="004C557A">
        <w:rPr>
          <w:rFonts w:ascii="Arial" w:hAnsi="Arial" w:cs="Arial"/>
          <w:sz w:val="24"/>
          <w:szCs w:val="24"/>
        </w:rPr>
        <w:t>2</w:t>
      </w:r>
      <w:r w:rsidRPr="004C557A">
        <w:rPr>
          <w:rFonts w:ascii="Arial" w:hAnsi="Arial" w:cs="Arial"/>
          <w:sz w:val="24"/>
          <w:szCs w:val="24"/>
        </w:rPr>
        <w:t xml:space="preserve">; </w:t>
      </w:r>
    </w:p>
    <w:p w14:paraId="0516F161" w14:textId="77777777" w:rsidR="008139B4" w:rsidRPr="004C557A" w:rsidRDefault="00DC6F27" w:rsidP="00DC6F27">
      <w:pPr>
        <w:ind w:left="720" w:hanging="720"/>
        <w:jc w:val="left"/>
        <w:rPr>
          <w:rFonts w:ascii="Arial" w:hAnsi="Arial" w:cs="Arial"/>
          <w:sz w:val="24"/>
          <w:szCs w:val="24"/>
        </w:rPr>
      </w:pPr>
      <w:r w:rsidRPr="004C557A">
        <w:rPr>
          <w:rFonts w:ascii="Arial" w:hAnsi="Arial" w:cs="Arial"/>
          <w:sz w:val="24"/>
          <w:szCs w:val="24"/>
        </w:rPr>
        <w:t xml:space="preserve">NOW THEREFORE the parties agree as follows: </w:t>
      </w:r>
      <w:r w:rsidR="008139B4" w:rsidRPr="004C557A">
        <w:rPr>
          <w:rFonts w:ascii="Arial" w:hAnsi="Arial" w:cs="Arial"/>
          <w:sz w:val="24"/>
          <w:szCs w:val="24"/>
        </w:rPr>
        <w:t xml:space="preserve"> </w:t>
      </w:r>
    </w:p>
    <w:p w14:paraId="72EC9F99" w14:textId="77777777" w:rsidR="004D1C89" w:rsidRPr="004C557A" w:rsidRDefault="00A6769F" w:rsidP="009D16BA">
      <w:pPr>
        <w:widowControl w:val="0"/>
        <w:numPr>
          <w:ilvl w:val="0"/>
          <w:numId w:val="8"/>
        </w:numPr>
        <w:tabs>
          <w:tab w:val="num" w:pos="360"/>
        </w:tabs>
        <w:spacing w:after="60"/>
        <w:ind w:left="360"/>
        <w:jc w:val="left"/>
        <w:rPr>
          <w:rFonts w:ascii="Arial" w:hAnsi="Arial" w:cs="Arial"/>
          <w:sz w:val="24"/>
          <w:szCs w:val="24"/>
          <w:u w:val="single"/>
        </w:rPr>
      </w:pPr>
      <w:r w:rsidRPr="004C557A">
        <w:rPr>
          <w:rFonts w:ascii="Arial" w:hAnsi="Arial" w:cs="Arial"/>
          <w:sz w:val="24"/>
          <w:szCs w:val="24"/>
          <w:u w:val="single"/>
        </w:rPr>
        <w:t>Effective Date and Duration</w:t>
      </w:r>
    </w:p>
    <w:p w14:paraId="5C36D986" w14:textId="01724925" w:rsidR="00A6769F" w:rsidRPr="00070E6A" w:rsidRDefault="00A6769F" w:rsidP="004D1C89">
      <w:pPr>
        <w:widowControl w:val="0"/>
        <w:spacing w:after="60"/>
        <w:ind w:left="360"/>
        <w:jc w:val="left"/>
        <w:rPr>
          <w:rFonts w:ascii="Arial" w:hAnsi="Arial" w:cs="Arial"/>
          <w:sz w:val="24"/>
          <w:szCs w:val="24"/>
          <w:u w:val="single"/>
        </w:rPr>
      </w:pPr>
      <w:r w:rsidRPr="004C557A">
        <w:rPr>
          <w:rFonts w:ascii="Arial" w:hAnsi="Arial" w:cs="Arial"/>
          <w:sz w:val="24"/>
          <w:szCs w:val="24"/>
        </w:rPr>
        <w:t>This IGA shall become effective on July 1, 20</w:t>
      </w:r>
      <w:r w:rsidR="00C12BB1" w:rsidRPr="004C557A">
        <w:rPr>
          <w:rFonts w:ascii="Arial" w:hAnsi="Arial" w:cs="Arial"/>
          <w:sz w:val="24"/>
          <w:szCs w:val="24"/>
        </w:rPr>
        <w:t>2</w:t>
      </w:r>
      <w:r w:rsidR="008C548C" w:rsidRPr="004C557A">
        <w:rPr>
          <w:rFonts w:ascii="Arial" w:hAnsi="Arial" w:cs="Arial"/>
          <w:sz w:val="24"/>
          <w:szCs w:val="24"/>
        </w:rPr>
        <w:t>1</w:t>
      </w:r>
      <w:r w:rsidRPr="004C557A">
        <w:rPr>
          <w:rFonts w:ascii="Arial" w:hAnsi="Arial" w:cs="Arial"/>
          <w:sz w:val="24"/>
          <w:szCs w:val="24"/>
        </w:rPr>
        <w:t xml:space="preserve"> and shall terminate on June 30, 20</w:t>
      </w:r>
      <w:r w:rsidR="00B1764C" w:rsidRPr="004C557A">
        <w:rPr>
          <w:rFonts w:ascii="Arial" w:hAnsi="Arial" w:cs="Arial"/>
          <w:sz w:val="24"/>
          <w:szCs w:val="24"/>
        </w:rPr>
        <w:t>2</w:t>
      </w:r>
      <w:r w:rsidR="008C548C" w:rsidRPr="004C557A">
        <w:rPr>
          <w:rFonts w:ascii="Arial" w:hAnsi="Arial" w:cs="Arial"/>
          <w:sz w:val="24"/>
          <w:szCs w:val="24"/>
        </w:rPr>
        <w:t>2</w:t>
      </w:r>
      <w:r w:rsidRPr="004C557A">
        <w:rPr>
          <w:rFonts w:ascii="Arial" w:hAnsi="Arial" w:cs="Arial"/>
          <w:sz w:val="24"/>
          <w:szCs w:val="24"/>
        </w:rPr>
        <w:t>.</w:t>
      </w:r>
    </w:p>
    <w:p w14:paraId="3F43C7DD" w14:textId="77777777" w:rsidR="00114301" w:rsidRDefault="00114301" w:rsidP="00114301">
      <w:pPr>
        <w:widowControl w:val="0"/>
        <w:spacing w:after="60"/>
        <w:ind w:left="360"/>
        <w:jc w:val="left"/>
        <w:rPr>
          <w:rFonts w:ascii="Arial" w:hAnsi="Arial" w:cs="Arial"/>
          <w:sz w:val="24"/>
          <w:szCs w:val="24"/>
          <w:u w:val="single"/>
        </w:rPr>
      </w:pPr>
    </w:p>
    <w:p w14:paraId="750F75EE" w14:textId="77777777" w:rsidR="004D1C89" w:rsidRDefault="009D16BA" w:rsidP="009D16BA">
      <w:pPr>
        <w:widowControl w:val="0"/>
        <w:numPr>
          <w:ilvl w:val="0"/>
          <w:numId w:val="8"/>
        </w:numPr>
        <w:tabs>
          <w:tab w:val="num" w:pos="360"/>
        </w:tabs>
        <w:spacing w:after="60"/>
        <w:ind w:left="360"/>
        <w:jc w:val="left"/>
        <w:rPr>
          <w:rFonts w:ascii="Arial" w:hAnsi="Arial" w:cs="Arial"/>
          <w:sz w:val="24"/>
          <w:szCs w:val="24"/>
          <w:u w:val="single"/>
        </w:rPr>
      </w:pPr>
      <w:r>
        <w:rPr>
          <w:rFonts w:ascii="Arial" w:hAnsi="Arial" w:cs="Arial"/>
          <w:sz w:val="24"/>
          <w:szCs w:val="24"/>
          <w:u w:val="single"/>
        </w:rPr>
        <w:t>Agreement Manager</w:t>
      </w:r>
    </w:p>
    <w:p w14:paraId="26574F7D" w14:textId="0DEF8D73" w:rsidR="00A6769F" w:rsidRPr="007B3B75" w:rsidRDefault="00A6769F" w:rsidP="004D1C89">
      <w:pPr>
        <w:widowControl w:val="0"/>
        <w:spacing w:after="60"/>
        <w:ind w:left="360"/>
        <w:jc w:val="left"/>
        <w:rPr>
          <w:rFonts w:ascii="Arial" w:hAnsi="Arial" w:cs="Arial"/>
          <w:sz w:val="24"/>
          <w:szCs w:val="24"/>
          <w:u w:val="single"/>
        </w:rPr>
      </w:pPr>
      <w:r w:rsidRPr="009D16BA">
        <w:rPr>
          <w:rFonts w:ascii="Arial" w:hAnsi="Arial" w:cs="Arial"/>
          <w:sz w:val="24"/>
          <w:szCs w:val="24"/>
        </w:rPr>
        <w:t xml:space="preserve">Each party has designated an IGA manager to be the formal representative for this Agreement.  All reports, notices, and other communications required under or relating to this Agreement shall be directed to the appropriate individual identified below.  The </w:t>
      </w:r>
      <w:r w:rsidR="00F84543">
        <w:rPr>
          <w:rFonts w:ascii="Arial" w:hAnsi="Arial" w:cs="Arial"/>
          <w:sz w:val="24"/>
          <w:szCs w:val="24"/>
        </w:rPr>
        <w:t>PHB</w:t>
      </w:r>
      <w:r w:rsidR="00F84543" w:rsidRPr="009D16BA">
        <w:rPr>
          <w:rFonts w:ascii="Arial" w:hAnsi="Arial" w:cs="Arial"/>
          <w:sz w:val="24"/>
          <w:szCs w:val="24"/>
        </w:rPr>
        <w:t xml:space="preserve"> </w:t>
      </w:r>
      <w:r w:rsidRPr="009D16BA">
        <w:rPr>
          <w:rFonts w:ascii="Arial" w:hAnsi="Arial" w:cs="Arial"/>
          <w:sz w:val="24"/>
          <w:szCs w:val="24"/>
        </w:rPr>
        <w:t>manager is authorized to approve work and billings hereunder, to give notices referred to herein, to terminate the Agreement as provided herein, approve all changes except those that increase the total IGA amount.</w:t>
      </w:r>
      <w:r w:rsidR="00F84543">
        <w:rPr>
          <w:rFonts w:ascii="Arial" w:hAnsi="Arial" w:cs="Arial"/>
          <w:sz w:val="24"/>
          <w:szCs w:val="24"/>
        </w:rPr>
        <w:t xml:space="preserve">  </w:t>
      </w:r>
    </w:p>
    <w:p w14:paraId="7E913EF4" w14:textId="77777777" w:rsidR="007B3B75" w:rsidRDefault="007B3B75" w:rsidP="007B3B75">
      <w:pPr>
        <w:pStyle w:val="ListParagraph"/>
        <w:rPr>
          <w:rFonts w:ascii="Arial" w:hAnsi="Arial" w:cs="Arial"/>
          <w:szCs w:val="24"/>
          <w:u w:val="single"/>
        </w:rPr>
      </w:pPr>
    </w:p>
    <w:p w14:paraId="252920F6" w14:textId="77777777" w:rsidR="007B3B75" w:rsidRPr="009D16BA" w:rsidRDefault="007B3B75" w:rsidP="007B3B75">
      <w:pPr>
        <w:widowControl w:val="0"/>
        <w:spacing w:after="60"/>
        <w:jc w:val="left"/>
        <w:rPr>
          <w:rFonts w:ascii="Arial" w:hAnsi="Arial" w:cs="Arial"/>
          <w:sz w:val="24"/>
          <w:szCs w:val="24"/>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788"/>
      </w:tblGrid>
      <w:tr w:rsidR="00A6769F" w:rsidRPr="00240322" w14:paraId="37A68CF9" w14:textId="77777777" w:rsidTr="000D373F">
        <w:trPr>
          <w:trHeight w:val="243"/>
        </w:trPr>
        <w:tc>
          <w:tcPr>
            <w:tcW w:w="4788" w:type="dxa"/>
            <w:vAlign w:val="center"/>
          </w:tcPr>
          <w:p w14:paraId="35E23CD5" w14:textId="77777777" w:rsidR="00A6769F" w:rsidRPr="00240322" w:rsidRDefault="00A6769F" w:rsidP="000D373F">
            <w:pPr>
              <w:rPr>
                <w:rFonts w:ascii="Arial" w:hAnsi="Arial" w:cs="Arial"/>
                <w:sz w:val="24"/>
                <w:szCs w:val="24"/>
              </w:rPr>
            </w:pPr>
            <w:r w:rsidRPr="00240322">
              <w:rPr>
                <w:rFonts w:ascii="Arial" w:hAnsi="Arial" w:cs="Arial"/>
                <w:sz w:val="24"/>
                <w:szCs w:val="24"/>
                <w:u w:val="single"/>
              </w:rPr>
              <w:lastRenderedPageBreak/>
              <w:t>PHB</w:t>
            </w:r>
          </w:p>
        </w:tc>
        <w:tc>
          <w:tcPr>
            <w:tcW w:w="4788" w:type="dxa"/>
            <w:vAlign w:val="bottom"/>
          </w:tcPr>
          <w:p w14:paraId="43448B73" w14:textId="77777777" w:rsidR="00A6769F" w:rsidRPr="00240322" w:rsidRDefault="00A6769F" w:rsidP="000D373F">
            <w:pPr>
              <w:rPr>
                <w:rFonts w:ascii="Arial" w:hAnsi="Arial" w:cs="Arial"/>
                <w:sz w:val="24"/>
                <w:szCs w:val="24"/>
              </w:rPr>
            </w:pPr>
            <w:r w:rsidRPr="00240322">
              <w:rPr>
                <w:rFonts w:ascii="Arial" w:hAnsi="Arial" w:cs="Arial"/>
                <w:sz w:val="24"/>
                <w:szCs w:val="24"/>
                <w:u w:val="single"/>
              </w:rPr>
              <w:t>City of Gresham</w:t>
            </w:r>
          </w:p>
        </w:tc>
      </w:tr>
      <w:tr w:rsidR="00A6769F" w:rsidRPr="00240322" w14:paraId="265B9E01" w14:textId="77777777" w:rsidTr="000D373F">
        <w:tc>
          <w:tcPr>
            <w:tcW w:w="4788" w:type="dxa"/>
            <w:vAlign w:val="center"/>
          </w:tcPr>
          <w:p w14:paraId="0B7B1044" w14:textId="77777777" w:rsidR="00A6769F" w:rsidRPr="003F0E8C" w:rsidRDefault="00A6769F" w:rsidP="000D373F">
            <w:pPr>
              <w:rPr>
                <w:rFonts w:ascii="Arial" w:hAnsi="Arial" w:cs="Arial"/>
                <w:sz w:val="24"/>
                <w:szCs w:val="24"/>
              </w:rPr>
            </w:pPr>
            <w:r w:rsidRPr="003F0E8C">
              <w:rPr>
                <w:rFonts w:ascii="Arial" w:hAnsi="Arial" w:cs="Arial"/>
                <w:sz w:val="24"/>
                <w:szCs w:val="24"/>
              </w:rPr>
              <w:t xml:space="preserve">IGA Manager: </w:t>
            </w:r>
            <w:r w:rsidR="003F0E8C">
              <w:rPr>
                <w:rFonts w:ascii="Arial" w:hAnsi="Arial" w:cs="Arial"/>
                <w:sz w:val="24"/>
                <w:szCs w:val="24"/>
              </w:rPr>
              <w:t>Stella Martinez</w:t>
            </w:r>
          </w:p>
        </w:tc>
        <w:tc>
          <w:tcPr>
            <w:tcW w:w="4788" w:type="dxa"/>
            <w:vAlign w:val="bottom"/>
          </w:tcPr>
          <w:p w14:paraId="0B2BB216" w14:textId="4BD9BF01" w:rsidR="00A6769F" w:rsidRPr="00240322" w:rsidRDefault="00A6769F" w:rsidP="000D373F">
            <w:pPr>
              <w:rPr>
                <w:rFonts w:ascii="Arial" w:hAnsi="Arial" w:cs="Arial"/>
                <w:sz w:val="24"/>
                <w:szCs w:val="24"/>
              </w:rPr>
            </w:pPr>
            <w:r w:rsidRPr="00240322">
              <w:rPr>
                <w:rFonts w:ascii="Arial" w:hAnsi="Arial" w:cs="Arial"/>
                <w:sz w:val="24"/>
                <w:szCs w:val="24"/>
              </w:rPr>
              <w:t xml:space="preserve">IGA Manager: </w:t>
            </w:r>
            <w:r w:rsidR="002C36E0">
              <w:rPr>
                <w:rFonts w:ascii="Arial" w:hAnsi="Arial" w:cs="Arial"/>
                <w:sz w:val="24"/>
                <w:szCs w:val="24"/>
              </w:rPr>
              <w:t>Ashley Miller</w:t>
            </w:r>
          </w:p>
        </w:tc>
      </w:tr>
      <w:tr w:rsidR="00A6769F" w:rsidRPr="00240322" w14:paraId="07A95BED" w14:textId="77777777" w:rsidTr="000D373F">
        <w:tc>
          <w:tcPr>
            <w:tcW w:w="4788" w:type="dxa"/>
            <w:vAlign w:val="center"/>
          </w:tcPr>
          <w:p w14:paraId="23C9660E" w14:textId="77777777" w:rsidR="00A6769F" w:rsidRPr="003F0E8C" w:rsidRDefault="00A6769F" w:rsidP="000D373F">
            <w:pPr>
              <w:rPr>
                <w:rFonts w:ascii="Arial" w:hAnsi="Arial" w:cs="Arial"/>
                <w:sz w:val="24"/>
                <w:szCs w:val="24"/>
              </w:rPr>
            </w:pPr>
            <w:r w:rsidRPr="003F0E8C">
              <w:rPr>
                <w:rFonts w:ascii="Arial" w:hAnsi="Arial" w:cs="Arial"/>
                <w:sz w:val="24"/>
                <w:szCs w:val="24"/>
              </w:rPr>
              <w:t>421 SW Sixth Ave., Suite 500</w:t>
            </w:r>
          </w:p>
        </w:tc>
        <w:tc>
          <w:tcPr>
            <w:tcW w:w="4788" w:type="dxa"/>
            <w:vAlign w:val="bottom"/>
          </w:tcPr>
          <w:p w14:paraId="005CEAD3" w14:textId="77777777" w:rsidR="00A6769F" w:rsidRPr="00240322" w:rsidRDefault="00A6769F" w:rsidP="000D373F">
            <w:pPr>
              <w:rPr>
                <w:rFonts w:ascii="Arial" w:hAnsi="Arial" w:cs="Arial"/>
                <w:sz w:val="24"/>
                <w:szCs w:val="24"/>
              </w:rPr>
            </w:pPr>
            <w:r w:rsidRPr="00240322">
              <w:rPr>
                <w:rFonts w:ascii="Arial" w:hAnsi="Arial" w:cs="Arial"/>
                <w:sz w:val="24"/>
                <w:szCs w:val="24"/>
              </w:rPr>
              <w:t>1333 NW Eastman Pkwy</w:t>
            </w:r>
          </w:p>
        </w:tc>
      </w:tr>
      <w:tr w:rsidR="00A6769F" w:rsidRPr="00240322" w14:paraId="0290C886" w14:textId="77777777" w:rsidTr="000D373F">
        <w:trPr>
          <w:trHeight w:val="323"/>
        </w:trPr>
        <w:tc>
          <w:tcPr>
            <w:tcW w:w="4788" w:type="dxa"/>
            <w:vAlign w:val="center"/>
          </w:tcPr>
          <w:p w14:paraId="07383A37" w14:textId="77777777" w:rsidR="00A6769F" w:rsidRPr="003F0E8C" w:rsidRDefault="00A6769F" w:rsidP="000D373F">
            <w:pPr>
              <w:rPr>
                <w:rFonts w:ascii="Arial" w:hAnsi="Arial" w:cs="Arial"/>
                <w:sz w:val="24"/>
                <w:szCs w:val="24"/>
              </w:rPr>
            </w:pPr>
            <w:r w:rsidRPr="003F0E8C">
              <w:rPr>
                <w:rFonts w:ascii="Arial" w:hAnsi="Arial" w:cs="Arial"/>
                <w:sz w:val="24"/>
                <w:szCs w:val="24"/>
              </w:rPr>
              <w:t>Portland, OR 97204</w:t>
            </w:r>
          </w:p>
        </w:tc>
        <w:tc>
          <w:tcPr>
            <w:tcW w:w="4788" w:type="dxa"/>
            <w:vAlign w:val="bottom"/>
          </w:tcPr>
          <w:p w14:paraId="131E0ACB" w14:textId="1602ECB7" w:rsidR="00A6769F" w:rsidRPr="00240322" w:rsidRDefault="00A6769F" w:rsidP="000D373F">
            <w:pPr>
              <w:rPr>
                <w:rFonts w:ascii="Arial" w:hAnsi="Arial" w:cs="Arial"/>
                <w:sz w:val="24"/>
                <w:szCs w:val="24"/>
              </w:rPr>
            </w:pPr>
            <w:r w:rsidRPr="00240322">
              <w:rPr>
                <w:rFonts w:ascii="Arial" w:hAnsi="Arial" w:cs="Arial"/>
                <w:sz w:val="24"/>
                <w:szCs w:val="24"/>
              </w:rPr>
              <w:t>Gresham, OR 97030-3813</w:t>
            </w:r>
          </w:p>
        </w:tc>
      </w:tr>
      <w:tr w:rsidR="00A6769F" w:rsidRPr="00240322" w14:paraId="26E06FB1" w14:textId="77777777" w:rsidTr="000D373F">
        <w:tc>
          <w:tcPr>
            <w:tcW w:w="4788" w:type="dxa"/>
            <w:vAlign w:val="center"/>
          </w:tcPr>
          <w:p w14:paraId="076960CD" w14:textId="77777777" w:rsidR="00A6769F" w:rsidRPr="003F0E8C" w:rsidRDefault="003F0E8C" w:rsidP="000D373F">
            <w:pPr>
              <w:rPr>
                <w:rFonts w:ascii="Arial" w:hAnsi="Arial" w:cs="Arial"/>
                <w:sz w:val="24"/>
                <w:szCs w:val="24"/>
              </w:rPr>
            </w:pPr>
            <w:r>
              <w:rPr>
                <w:rFonts w:ascii="Arial" w:hAnsi="Arial" w:cs="Arial"/>
                <w:sz w:val="24"/>
                <w:szCs w:val="24"/>
              </w:rPr>
              <w:t>(503) 823-2383</w:t>
            </w:r>
          </w:p>
        </w:tc>
        <w:tc>
          <w:tcPr>
            <w:tcW w:w="4788" w:type="dxa"/>
            <w:vAlign w:val="bottom"/>
          </w:tcPr>
          <w:p w14:paraId="70B33AB7" w14:textId="77777777" w:rsidR="00A6769F" w:rsidRPr="00240322" w:rsidRDefault="00A6769F" w:rsidP="000D373F">
            <w:pPr>
              <w:rPr>
                <w:rFonts w:ascii="Arial" w:hAnsi="Arial" w:cs="Arial"/>
                <w:sz w:val="24"/>
                <w:szCs w:val="24"/>
              </w:rPr>
            </w:pPr>
            <w:r w:rsidRPr="00240322">
              <w:rPr>
                <w:rFonts w:ascii="Arial" w:hAnsi="Arial" w:cs="Arial"/>
                <w:sz w:val="24"/>
                <w:szCs w:val="24"/>
              </w:rPr>
              <w:t>503-618-2</w:t>
            </w:r>
            <w:r w:rsidR="00404B42">
              <w:rPr>
                <w:rFonts w:ascii="Arial" w:hAnsi="Arial" w:cs="Arial"/>
                <w:sz w:val="24"/>
                <w:szCs w:val="24"/>
              </w:rPr>
              <w:t>404</w:t>
            </w:r>
          </w:p>
        </w:tc>
      </w:tr>
      <w:tr w:rsidR="00A6769F" w:rsidRPr="00240322" w14:paraId="7AA93C9E" w14:textId="77777777" w:rsidTr="000D373F">
        <w:tc>
          <w:tcPr>
            <w:tcW w:w="4788" w:type="dxa"/>
            <w:vAlign w:val="center"/>
          </w:tcPr>
          <w:p w14:paraId="0B298F2E" w14:textId="77777777" w:rsidR="00A6769F" w:rsidRPr="003F0E8C" w:rsidRDefault="00A6769F" w:rsidP="000D373F">
            <w:pPr>
              <w:rPr>
                <w:rFonts w:ascii="Arial" w:hAnsi="Arial" w:cs="Arial"/>
                <w:sz w:val="24"/>
                <w:szCs w:val="24"/>
              </w:rPr>
            </w:pPr>
            <w:r w:rsidRPr="003F0E8C">
              <w:rPr>
                <w:rFonts w:ascii="Arial" w:hAnsi="Arial" w:cs="Arial"/>
                <w:sz w:val="24"/>
                <w:szCs w:val="24"/>
              </w:rPr>
              <w:t xml:space="preserve">(503) </w:t>
            </w:r>
            <w:r w:rsidR="003F0E8C">
              <w:rPr>
                <w:rFonts w:ascii="Arial" w:hAnsi="Arial" w:cs="Arial"/>
                <w:sz w:val="24"/>
                <w:szCs w:val="24"/>
              </w:rPr>
              <w:t>865-3426</w:t>
            </w:r>
            <w:r w:rsidRPr="003F0E8C">
              <w:rPr>
                <w:rFonts w:ascii="Arial" w:hAnsi="Arial" w:cs="Arial"/>
                <w:sz w:val="24"/>
                <w:szCs w:val="24"/>
              </w:rPr>
              <w:t xml:space="preserve"> (fax)</w:t>
            </w:r>
          </w:p>
        </w:tc>
        <w:tc>
          <w:tcPr>
            <w:tcW w:w="4788" w:type="dxa"/>
            <w:vAlign w:val="bottom"/>
          </w:tcPr>
          <w:p w14:paraId="54667BD3" w14:textId="77777777" w:rsidR="00A6769F" w:rsidRPr="00240322" w:rsidRDefault="00A6769F" w:rsidP="000D373F">
            <w:pPr>
              <w:rPr>
                <w:rFonts w:ascii="Arial" w:hAnsi="Arial" w:cs="Arial"/>
                <w:sz w:val="24"/>
                <w:szCs w:val="24"/>
              </w:rPr>
            </w:pPr>
            <w:r w:rsidRPr="00240322">
              <w:rPr>
                <w:rFonts w:ascii="Arial" w:hAnsi="Arial" w:cs="Arial"/>
                <w:sz w:val="24"/>
                <w:szCs w:val="24"/>
              </w:rPr>
              <w:t>503-618-2333 (fax)</w:t>
            </w:r>
          </w:p>
        </w:tc>
      </w:tr>
      <w:tr w:rsidR="00A6769F" w:rsidRPr="00240322" w14:paraId="793FCA3D" w14:textId="77777777" w:rsidTr="000D373F">
        <w:tc>
          <w:tcPr>
            <w:tcW w:w="4788" w:type="dxa"/>
            <w:vAlign w:val="center"/>
          </w:tcPr>
          <w:p w14:paraId="498779FA" w14:textId="77777777" w:rsidR="00A6769F" w:rsidRPr="003F0E8C" w:rsidRDefault="003F0E8C" w:rsidP="000D373F">
            <w:pPr>
              <w:rPr>
                <w:rFonts w:ascii="Arial" w:hAnsi="Arial" w:cs="Arial"/>
                <w:sz w:val="24"/>
                <w:szCs w:val="24"/>
              </w:rPr>
            </w:pPr>
            <w:r>
              <w:rPr>
                <w:rFonts w:ascii="Arial" w:hAnsi="Arial" w:cs="Arial"/>
                <w:sz w:val="24"/>
                <w:szCs w:val="24"/>
              </w:rPr>
              <w:t>Stella.Martinez</w:t>
            </w:r>
            <w:r w:rsidR="00A6769F" w:rsidRPr="003F0E8C">
              <w:rPr>
                <w:rFonts w:ascii="Arial" w:hAnsi="Arial" w:cs="Arial"/>
                <w:sz w:val="24"/>
                <w:szCs w:val="24"/>
              </w:rPr>
              <w:t>@portlandoregon.gov</w:t>
            </w:r>
          </w:p>
        </w:tc>
        <w:tc>
          <w:tcPr>
            <w:tcW w:w="4788" w:type="dxa"/>
            <w:vAlign w:val="bottom"/>
          </w:tcPr>
          <w:p w14:paraId="6D5F39F8" w14:textId="01AFB03F" w:rsidR="00A6769F" w:rsidRPr="00240322" w:rsidRDefault="002C36E0" w:rsidP="000D373F">
            <w:pPr>
              <w:rPr>
                <w:rFonts w:ascii="Arial" w:hAnsi="Arial" w:cs="Arial"/>
                <w:sz w:val="24"/>
                <w:szCs w:val="24"/>
              </w:rPr>
            </w:pPr>
            <w:r w:rsidRPr="004C557A">
              <w:rPr>
                <w:rFonts w:ascii="Arial" w:hAnsi="Arial" w:cs="Arial"/>
                <w:sz w:val="24"/>
                <w:szCs w:val="24"/>
              </w:rPr>
              <w:t>Ashley.Miller</w:t>
            </w:r>
            <w:r w:rsidR="00404B42" w:rsidRPr="004C557A">
              <w:rPr>
                <w:rFonts w:ascii="Arial" w:hAnsi="Arial" w:cs="Arial"/>
                <w:sz w:val="24"/>
                <w:szCs w:val="24"/>
              </w:rPr>
              <w:t>@greshamoregon.gov</w:t>
            </w:r>
          </w:p>
        </w:tc>
      </w:tr>
      <w:tr w:rsidR="00A6769F" w:rsidRPr="00240322" w14:paraId="744FA2C2" w14:textId="77777777" w:rsidTr="000D373F">
        <w:tc>
          <w:tcPr>
            <w:tcW w:w="4788" w:type="dxa"/>
            <w:vAlign w:val="center"/>
          </w:tcPr>
          <w:p w14:paraId="1F3E7CC6" w14:textId="77777777" w:rsidR="00A6769F" w:rsidRPr="00240322" w:rsidRDefault="00A6769F" w:rsidP="000D373F">
            <w:pPr>
              <w:rPr>
                <w:rFonts w:ascii="Arial" w:hAnsi="Arial" w:cs="Arial"/>
                <w:sz w:val="24"/>
                <w:szCs w:val="24"/>
              </w:rPr>
            </w:pPr>
          </w:p>
        </w:tc>
        <w:tc>
          <w:tcPr>
            <w:tcW w:w="4788" w:type="dxa"/>
            <w:vAlign w:val="bottom"/>
          </w:tcPr>
          <w:p w14:paraId="3B458016" w14:textId="77777777" w:rsidR="00A6769F" w:rsidRPr="00240322" w:rsidRDefault="00A6769F" w:rsidP="000D373F">
            <w:pPr>
              <w:rPr>
                <w:rFonts w:ascii="Arial" w:hAnsi="Arial" w:cs="Arial"/>
                <w:sz w:val="24"/>
                <w:szCs w:val="24"/>
              </w:rPr>
            </w:pPr>
            <w:r w:rsidRPr="00240322">
              <w:rPr>
                <w:rFonts w:ascii="Arial" w:hAnsi="Arial" w:cs="Arial"/>
                <w:sz w:val="24"/>
                <w:szCs w:val="24"/>
              </w:rPr>
              <w:t>EEO: Exempt</w:t>
            </w:r>
          </w:p>
        </w:tc>
      </w:tr>
      <w:tr w:rsidR="00A6769F" w:rsidRPr="00240322" w14:paraId="78A2E850" w14:textId="77777777" w:rsidTr="000D373F">
        <w:tc>
          <w:tcPr>
            <w:tcW w:w="4788" w:type="dxa"/>
            <w:vAlign w:val="center"/>
          </w:tcPr>
          <w:p w14:paraId="2E23D35B" w14:textId="77777777" w:rsidR="00A6769F" w:rsidRPr="00240322" w:rsidRDefault="00A6769F" w:rsidP="000D373F">
            <w:pPr>
              <w:rPr>
                <w:rFonts w:ascii="Arial" w:hAnsi="Arial" w:cs="Arial"/>
                <w:sz w:val="24"/>
                <w:szCs w:val="24"/>
              </w:rPr>
            </w:pPr>
          </w:p>
        </w:tc>
        <w:tc>
          <w:tcPr>
            <w:tcW w:w="4788" w:type="dxa"/>
            <w:vAlign w:val="bottom"/>
          </w:tcPr>
          <w:p w14:paraId="2F700CAC" w14:textId="77777777" w:rsidR="00A6769F" w:rsidRPr="00240322" w:rsidRDefault="00A6769F" w:rsidP="000D373F">
            <w:pPr>
              <w:rPr>
                <w:rFonts w:ascii="Arial" w:hAnsi="Arial" w:cs="Arial"/>
                <w:sz w:val="24"/>
                <w:szCs w:val="24"/>
              </w:rPr>
            </w:pPr>
            <w:r w:rsidRPr="00240322">
              <w:rPr>
                <w:rFonts w:ascii="Arial" w:hAnsi="Arial" w:cs="Arial"/>
                <w:sz w:val="24"/>
                <w:szCs w:val="24"/>
              </w:rPr>
              <w:t>Business License: Exempt</w:t>
            </w:r>
          </w:p>
        </w:tc>
      </w:tr>
    </w:tbl>
    <w:p w14:paraId="1CB7505B" w14:textId="77777777" w:rsidR="009D16BA" w:rsidRDefault="009D16BA" w:rsidP="009D16BA">
      <w:pPr>
        <w:widowControl w:val="0"/>
        <w:spacing w:after="60"/>
        <w:ind w:left="360"/>
        <w:jc w:val="left"/>
        <w:rPr>
          <w:rFonts w:ascii="Arial" w:hAnsi="Arial" w:cs="Arial"/>
          <w:sz w:val="24"/>
          <w:szCs w:val="24"/>
          <w:u w:val="single"/>
        </w:rPr>
      </w:pPr>
    </w:p>
    <w:p w14:paraId="667C6D53" w14:textId="77777777" w:rsidR="004D1C89" w:rsidRDefault="00A6769F" w:rsidP="009D16BA">
      <w:pPr>
        <w:widowControl w:val="0"/>
        <w:numPr>
          <w:ilvl w:val="0"/>
          <w:numId w:val="8"/>
        </w:numPr>
        <w:tabs>
          <w:tab w:val="num" w:pos="360"/>
        </w:tabs>
        <w:spacing w:after="60"/>
        <w:ind w:left="360"/>
        <w:jc w:val="left"/>
        <w:rPr>
          <w:rFonts w:ascii="Arial" w:hAnsi="Arial" w:cs="Arial"/>
          <w:sz w:val="24"/>
          <w:szCs w:val="24"/>
          <w:u w:val="single"/>
        </w:rPr>
      </w:pPr>
      <w:r w:rsidRPr="00240322">
        <w:rPr>
          <w:rFonts w:ascii="Arial" w:hAnsi="Arial" w:cs="Arial"/>
          <w:sz w:val="24"/>
          <w:szCs w:val="24"/>
          <w:u w:val="single"/>
        </w:rPr>
        <w:t>Scope of Services</w:t>
      </w:r>
    </w:p>
    <w:p w14:paraId="3F92804F" w14:textId="165A1A2E" w:rsidR="00A6769F" w:rsidRPr="009D16BA" w:rsidRDefault="00A6769F" w:rsidP="004D1C89">
      <w:pPr>
        <w:widowControl w:val="0"/>
        <w:spacing w:after="60"/>
        <w:ind w:left="360"/>
        <w:jc w:val="left"/>
        <w:rPr>
          <w:rFonts w:ascii="Arial" w:hAnsi="Arial" w:cs="Arial"/>
          <w:sz w:val="24"/>
          <w:szCs w:val="24"/>
          <w:u w:val="single"/>
        </w:rPr>
      </w:pPr>
      <w:r w:rsidRPr="009D16BA">
        <w:rPr>
          <w:rFonts w:ascii="Arial" w:hAnsi="Arial" w:cs="Arial"/>
          <w:sz w:val="24"/>
          <w:szCs w:val="24"/>
        </w:rPr>
        <w:t>The statement of work is contained in Section II and III.</w:t>
      </w:r>
    </w:p>
    <w:p w14:paraId="72513AF3" w14:textId="77777777" w:rsidR="009D16BA" w:rsidRPr="009D16BA" w:rsidRDefault="009D16BA" w:rsidP="009D16BA">
      <w:pPr>
        <w:widowControl w:val="0"/>
        <w:spacing w:after="60"/>
        <w:ind w:left="360"/>
        <w:jc w:val="left"/>
        <w:rPr>
          <w:rFonts w:ascii="Arial" w:hAnsi="Arial" w:cs="Arial"/>
          <w:sz w:val="24"/>
          <w:szCs w:val="24"/>
          <w:u w:val="single"/>
        </w:rPr>
      </w:pPr>
    </w:p>
    <w:p w14:paraId="314F7DD4" w14:textId="77777777" w:rsidR="00114301" w:rsidRPr="00114301" w:rsidRDefault="00AE2563" w:rsidP="00A958D8">
      <w:pPr>
        <w:widowControl w:val="0"/>
        <w:numPr>
          <w:ilvl w:val="0"/>
          <w:numId w:val="8"/>
        </w:numPr>
        <w:tabs>
          <w:tab w:val="num" w:pos="360"/>
        </w:tabs>
        <w:spacing w:after="60"/>
        <w:ind w:left="360"/>
        <w:jc w:val="both"/>
        <w:rPr>
          <w:rFonts w:ascii="Arial" w:hAnsi="Arial" w:cs="Arial"/>
          <w:sz w:val="24"/>
          <w:szCs w:val="24"/>
        </w:rPr>
      </w:pPr>
      <w:r w:rsidRPr="009D16BA">
        <w:rPr>
          <w:rFonts w:ascii="Arial" w:hAnsi="Arial" w:cs="Arial"/>
          <w:sz w:val="24"/>
          <w:szCs w:val="24"/>
          <w:u w:val="single"/>
        </w:rPr>
        <w:t>Grant Award to Gresham</w:t>
      </w:r>
      <w:r w:rsidR="009D16BA" w:rsidRPr="009D16BA">
        <w:rPr>
          <w:rFonts w:ascii="Arial" w:hAnsi="Arial" w:cs="Arial"/>
          <w:sz w:val="24"/>
          <w:szCs w:val="24"/>
          <w:u w:val="single"/>
        </w:rPr>
        <w:t xml:space="preserve">. </w:t>
      </w:r>
    </w:p>
    <w:p w14:paraId="43DF6A5A" w14:textId="5A1CA0C7" w:rsidR="00114301" w:rsidRDefault="00A6769F" w:rsidP="00114301">
      <w:pPr>
        <w:pStyle w:val="ListParagraph"/>
        <w:numPr>
          <w:ilvl w:val="0"/>
          <w:numId w:val="17"/>
        </w:numPr>
        <w:spacing w:after="60"/>
        <w:jc w:val="both"/>
        <w:rPr>
          <w:rFonts w:ascii="Arial" w:hAnsi="Arial" w:cs="Arial"/>
          <w:szCs w:val="24"/>
        </w:rPr>
      </w:pPr>
      <w:r w:rsidRPr="00114301">
        <w:rPr>
          <w:rFonts w:ascii="Arial" w:hAnsi="Arial" w:cs="Arial"/>
          <w:szCs w:val="24"/>
        </w:rPr>
        <w:t xml:space="preserve">The amount of </w:t>
      </w:r>
      <w:r w:rsidR="00AE2563" w:rsidRPr="00114301">
        <w:rPr>
          <w:rFonts w:ascii="Arial" w:hAnsi="Arial" w:cs="Arial"/>
          <w:szCs w:val="24"/>
        </w:rPr>
        <w:t xml:space="preserve">the grant award to Gresham </w:t>
      </w:r>
      <w:r w:rsidR="00114301">
        <w:rPr>
          <w:rFonts w:ascii="Arial" w:hAnsi="Arial" w:cs="Arial"/>
          <w:szCs w:val="24"/>
        </w:rPr>
        <w:t xml:space="preserve">under this IGA </w:t>
      </w:r>
      <w:r w:rsidRPr="00114301">
        <w:rPr>
          <w:rFonts w:ascii="Arial" w:hAnsi="Arial" w:cs="Arial"/>
          <w:szCs w:val="24"/>
        </w:rPr>
        <w:t xml:space="preserve">shall not </w:t>
      </w:r>
      <w:r w:rsidRPr="009324C9">
        <w:rPr>
          <w:rFonts w:ascii="Arial" w:hAnsi="Arial" w:cs="Arial"/>
          <w:szCs w:val="24"/>
        </w:rPr>
        <w:t>exceed</w:t>
      </w:r>
      <w:r w:rsidR="00C638F9" w:rsidRPr="009324C9">
        <w:rPr>
          <w:rFonts w:ascii="Arial" w:hAnsi="Arial" w:cs="Arial"/>
          <w:szCs w:val="24"/>
        </w:rPr>
        <w:t xml:space="preserve"> </w:t>
      </w:r>
      <w:r w:rsidR="00070E6A" w:rsidRPr="009324C9">
        <w:rPr>
          <w:rFonts w:ascii="Arial" w:hAnsi="Arial" w:cs="Arial"/>
          <w:szCs w:val="24"/>
        </w:rPr>
        <w:t xml:space="preserve">ONE MILLION, </w:t>
      </w:r>
      <w:r w:rsidR="007128DD">
        <w:rPr>
          <w:rFonts w:ascii="Arial" w:hAnsi="Arial" w:cs="Arial"/>
          <w:szCs w:val="24"/>
        </w:rPr>
        <w:t xml:space="preserve">ONE </w:t>
      </w:r>
      <w:r w:rsidR="005F3AAF" w:rsidRPr="009324C9">
        <w:rPr>
          <w:rFonts w:ascii="Arial" w:hAnsi="Arial" w:cs="Arial"/>
          <w:szCs w:val="24"/>
        </w:rPr>
        <w:t xml:space="preserve">HUNDRED </w:t>
      </w:r>
      <w:r w:rsidR="007128DD">
        <w:rPr>
          <w:rFonts w:ascii="Arial" w:hAnsi="Arial" w:cs="Arial"/>
          <w:szCs w:val="24"/>
        </w:rPr>
        <w:t>FOURTEEN</w:t>
      </w:r>
      <w:r w:rsidR="00070E6A" w:rsidRPr="009324C9">
        <w:rPr>
          <w:rFonts w:ascii="Arial" w:hAnsi="Arial" w:cs="Arial"/>
          <w:szCs w:val="24"/>
        </w:rPr>
        <w:t xml:space="preserve"> THOUSAND</w:t>
      </w:r>
      <w:r w:rsidR="00636DF8">
        <w:rPr>
          <w:rFonts w:ascii="Arial" w:hAnsi="Arial" w:cs="Arial"/>
          <w:szCs w:val="24"/>
        </w:rPr>
        <w:t>,</w:t>
      </w:r>
      <w:r w:rsidR="0062798B" w:rsidRPr="009324C9">
        <w:rPr>
          <w:rFonts w:ascii="Arial" w:hAnsi="Arial" w:cs="Arial"/>
          <w:szCs w:val="24"/>
        </w:rPr>
        <w:t xml:space="preserve"> </w:t>
      </w:r>
      <w:r w:rsidR="00BA3802" w:rsidRPr="009324C9">
        <w:rPr>
          <w:rFonts w:ascii="Arial" w:hAnsi="Arial" w:cs="Arial"/>
          <w:szCs w:val="24"/>
        </w:rPr>
        <w:t>F</w:t>
      </w:r>
      <w:r w:rsidR="009324C9" w:rsidRPr="009324C9">
        <w:rPr>
          <w:rFonts w:ascii="Arial" w:hAnsi="Arial" w:cs="Arial"/>
          <w:szCs w:val="24"/>
        </w:rPr>
        <w:t>IF</w:t>
      </w:r>
      <w:r w:rsidR="00BA3802" w:rsidRPr="009324C9">
        <w:rPr>
          <w:rFonts w:ascii="Arial" w:hAnsi="Arial" w:cs="Arial"/>
          <w:szCs w:val="24"/>
        </w:rPr>
        <w:t>TY-TWO</w:t>
      </w:r>
      <w:r w:rsidR="0062798B" w:rsidRPr="009324C9">
        <w:rPr>
          <w:rFonts w:ascii="Arial" w:hAnsi="Arial" w:cs="Arial"/>
          <w:szCs w:val="24"/>
        </w:rPr>
        <w:t xml:space="preserve"> Dollars ($</w:t>
      </w:r>
      <w:r w:rsidR="0062798B" w:rsidRPr="009324C9">
        <w:rPr>
          <w:rFonts w:ascii="Arial" w:hAnsi="Arial" w:cs="Arial"/>
          <w:color w:val="000000"/>
        </w:rPr>
        <w:t>1,</w:t>
      </w:r>
      <w:r w:rsidR="00636DF8">
        <w:rPr>
          <w:rFonts w:ascii="Arial" w:hAnsi="Arial" w:cs="Arial"/>
          <w:color w:val="000000"/>
        </w:rPr>
        <w:t>114,0</w:t>
      </w:r>
      <w:r w:rsidR="009324C9" w:rsidRPr="009324C9">
        <w:rPr>
          <w:rFonts w:ascii="Arial" w:hAnsi="Arial" w:cs="Arial"/>
          <w:color w:val="000000"/>
        </w:rPr>
        <w:t>52</w:t>
      </w:r>
      <w:r w:rsidR="0062798B" w:rsidRPr="009324C9">
        <w:rPr>
          <w:rFonts w:ascii="Arial" w:hAnsi="Arial" w:cs="Arial"/>
          <w:color w:val="000000"/>
        </w:rPr>
        <w:t>)</w:t>
      </w:r>
      <w:r w:rsidR="0062798B" w:rsidRPr="009324C9">
        <w:rPr>
          <w:rFonts w:ascii="Calibri" w:hAnsi="Calibri"/>
          <w:color w:val="000000"/>
        </w:rPr>
        <w:t xml:space="preserve"> </w:t>
      </w:r>
      <w:r w:rsidRPr="009324C9">
        <w:rPr>
          <w:rFonts w:ascii="Arial" w:hAnsi="Arial" w:cs="Arial"/>
          <w:szCs w:val="24"/>
        </w:rPr>
        <w:t xml:space="preserve">in HOME funds.  The </w:t>
      </w:r>
      <w:r w:rsidR="00AE2563" w:rsidRPr="009324C9">
        <w:rPr>
          <w:rFonts w:ascii="Arial" w:hAnsi="Arial" w:cs="Arial"/>
          <w:szCs w:val="24"/>
        </w:rPr>
        <w:t xml:space="preserve">grant award </w:t>
      </w:r>
      <w:r w:rsidRPr="009324C9">
        <w:rPr>
          <w:rFonts w:ascii="Arial" w:hAnsi="Arial" w:cs="Arial"/>
          <w:szCs w:val="24"/>
        </w:rPr>
        <w:t xml:space="preserve">requirements are contained in Section </w:t>
      </w:r>
      <w:r w:rsidR="00114301" w:rsidRPr="009324C9">
        <w:rPr>
          <w:rFonts w:ascii="Arial" w:hAnsi="Arial" w:cs="Arial"/>
          <w:szCs w:val="24"/>
        </w:rPr>
        <w:t>11</w:t>
      </w:r>
      <w:r w:rsidRPr="009324C9">
        <w:rPr>
          <w:rFonts w:ascii="Arial" w:hAnsi="Arial" w:cs="Arial"/>
          <w:szCs w:val="24"/>
        </w:rPr>
        <w:t>. Final invoice is due</w:t>
      </w:r>
      <w:r w:rsidR="00A52C42" w:rsidRPr="009324C9">
        <w:rPr>
          <w:rFonts w:ascii="Arial" w:hAnsi="Arial" w:cs="Arial"/>
          <w:b/>
          <w:szCs w:val="24"/>
        </w:rPr>
        <w:t xml:space="preserve"> </w:t>
      </w:r>
      <w:r w:rsidR="00A52C42" w:rsidRPr="009324C9">
        <w:rPr>
          <w:rFonts w:ascii="Arial" w:hAnsi="Arial" w:cs="Arial"/>
          <w:szCs w:val="24"/>
        </w:rPr>
        <w:t>on</w:t>
      </w:r>
      <w:r w:rsidR="00A52C42" w:rsidRPr="009324C9">
        <w:rPr>
          <w:rFonts w:ascii="Arial" w:hAnsi="Arial" w:cs="Arial"/>
          <w:b/>
          <w:szCs w:val="24"/>
        </w:rPr>
        <w:t xml:space="preserve"> </w:t>
      </w:r>
      <w:r w:rsidRPr="009324C9">
        <w:rPr>
          <w:rFonts w:ascii="Arial" w:hAnsi="Arial" w:cs="Arial"/>
          <w:b/>
          <w:szCs w:val="24"/>
        </w:rPr>
        <w:t xml:space="preserve">July </w:t>
      </w:r>
      <w:r w:rsidR="0062798B" w:rsidRPr="009324C9">
        <w:rPr>
          <w:rFonts w:ascii="Arial" w:hAnsi="Arial" w:cs="Arial"/>
          <w:b/>
          <w:szCs w:val="24"/>
        </w:rPr>
        <w:t>6</w:t>
      </w:r>
      <w:r w:rsidRPr="009324C9">
        <w:rPr>
          <w:rFonts w:ascii="Arial" w:hAnsi="Arial" w:cs="Arial"/>
          <w:b/>
          <w:szCs w:val="24"/>
        </w:rPr>
        <w:t>, 20</w:t>
      </w:r>
      <w:r w:rsidR="00B1764C" w:rsidRPr="009324C9">
        <w:rPr>
          <w:rFonts w:ascii="Arial" w:hAnsi="Arial" w:cs="Arial"/>
          <w:b/>
          <w:szCs w:val="24"/>
        </w:rPr>
        <w:t>2</w:t>
      </w:r>
      <w:r w:rsidR="008C548C" w:rsidRPr="009324C9">
        <w:rPr>
          <w:rFonts w:ascii="Arial" w:hAnsi="Arial" w:cs="Arial"/>
          <w:b/>
          <w:szCs w:val="24"/>
        </w:rPr>
        <w:t>2</w:t>
      </w:r>
      <w:r w:rsidRPr="009324C9">
        <w:rPr>
          <w:rFonts w:ascii="Arial" w:hAnsi="Arial" w:cs="Arial"/>
          <w:szCs w:val="24"/>
        </w:rPr>
        <w:t>.</w:t>
      </w:r>
    </w:p>
    <w:p w14:paraId="6CFFCF8A" w14:textId="77777777" w:rsidR="00114301" w:rsidRDefault="00114301" w:rsidP="00114301">
      <w:pPr>
        <w:pStyle w:val="ListParagraph"/>
        <w:spacing w:after="60"/>
        <w:jc w:val="both"/>
        <w:rPr>
          <w:rFonts w:ascii="Arial" w:hAnsi="Arial" w:cs="Arial"/>
          <w:szCs w:val="24"/>
        </w:rPr>
      </w:pPr>
    </w:p>
    <w:p w14:paraId="2CC9E0F6" w14:textId="41E1032F" w:rsidR="00114301" w:rsidRPr="00070E6A" w:rsidRDefault="00114301" w:rsidP="00114301">
      <w:pPr>
        <w:pStyle w:val="ListParagraph"/>
        <w:numPr>
          <w:ilvl w:val="0"/>
          <w:numId w:val="17"/>
        </w:numPr>
        <w:spacing w:after="60"/>
        <w:jc w:val="both"/>
        <w:rPr>
          <w:rFonts w:ascii="Arial" w:hAnsi="Arial" w:cs="Arial"/>
          <w:szCs w:val="24"/>
        </w:rPr>
      </w:pPr>
      <w:r w:rsidRPr="00070E6A">
        <w:rPr>
          <w:rFonts w:ascii="Arial" w:hAnsi="Arial" w:cs="Arial"/>
          <w:szCs w:val="24"/>
        </w:rPr>
        <w:t xml:space="preserve">There is a total </w:t>
      </w:r>
      <w:r w:rsidRPr="009324C9">
        <w:rPr>
          <w:rFonts w:ascii="Arial" w:hAnsi="Arial" w:cs="Arial"/>
          <w:szCs w:val="24"/>
        </w:rPr>
        <w:t>of $</w:t>
      </w:r>
      <w:r w:rsidR="00070E6A" w:rsidRPr="009324C9">
        <w:rPr>
          <w:rFonts w:ascii="Arial" w:hAnsi="Arial" w:cs="Arial"/>
          <w:color w:val="000000"/>
        </w:rPr>
        <w:t>1,</w:t>
      </w:r>
      <w:r w:rsidR="0080100B">
        <w:rPr>
          <w:rFonts w:ascii="Arial" w:hAnsi="Arial" w:cs="Arial"/>
          <w:color w:val="000000"/>
        </w:rPr>
        <w:t xml:space="preserve">114,052 </w:t>
      </w:r>
      <w:r w:rsidRPr="009324C9">
        <w:rPr>
          <w:rFonts w:ascii="Arial" w:hAnsi="Arial" w:cs="Arial"/>
          <w:szCs w:val="24"/>
        </w:rPr>
        <w:t>in HOME</w:t>
      </w:r>
      <w:r w:rsidRPr="00070E6A">
        <w:rPr>
          <w:rFonts w:ascii="Arial" w:hAnsi="Arial" w:cs="Arial"/>
          <w:szCs w:val="24"/>
        </w:rPr>
        <w:t xml:space="preserve"> funds available to Gresham in the City of Portland Housing Bureau Budget, comprised of </w:t>
      </w:r>
      <w:r w:rsidRPr="009324C9">
        <w:rPr>
          <w:rFonts w:ascii="Arial" w:hAnsi="Arial" w:cs="Arial"/>
          <w:szCs w:val="24"/>
        </w:rPr>
        <w:t>$</w:t>
      </w:r>
      <w:r w:rsidR="00C7172E">
        <w:rPr>
          <w:rFonts w:ascii="Arial" w:hAnsi="Arial" w:cs="Arial"/>
          <w:szCs w:val="24"/>
        </w:rPr>
        <w:t>617,606</w:t>
      </w:r>
      <w:r w:rsidRPr="00070E6A">
        <w:rPr>
          <w:rFonts w:ascii="Arial" w:hAnsi="Arial" w:cs="Arial"/>
          <w:szCs w:val="24"/>
        </w:rPr>
        <w:t xml:space="preserve"> i</w:t>
      </w:r>
      <w:r w:rsidR="004E783F" w:rsidRPr="00070E6A">
        <w:rPr>
          <w:rFonts w:ascii="Arial" w:hAnsi="Arial" w:cs="Arial"/>
          <w:szCs w:val="24"/>
        </w:rPr>
        <w:t>n FY 20</w:t>
      </w:r>
      <w:r w:rsidR="005F3AAF">
        <w:rPr>
          <w:rFonts w:ascii="Arial" w:hAnsi="Arial" w:cs="Arial"/>
          <w:szCs w:val="24"/>
        </w:rPr>
        <w:t>2</w:t>
      </w:r>
      <w:r w:rsidR="00AB2FD9">
        <w:rPr>
          <w:rFonts w:ascii="Arial" w:hAnsi="Arial" w:cs="Arial"/>
          <w:szCs w:val="24"/>
        </w:rPr>
        <w:t>1</w:t>
      </w:r>
      <w:r w:rsidR="005F3AAF">
        <w:rPr>
          <w:rFonts w:ascii="Arial" w:hAnsi="Arial" w:cs="Arial"/>
          <w:szCs w:val="24"/>
        </w:rPr>
        <w:t>-2</w:t>
      </w:r>
      <w:r w:rsidR="00AB2FD9">
        <w:rPr>
          <w:rFonts w:ascii="Arial" w:hAnsi="Arial" w:cs="Arial"/>
          <w:szCs w:val="24"/>
        </w:rPr>
        <w:t>2</w:t>
      </w:r>
      <w:r w:rsidR="004E783F" w:rsidRPr="00070E6A">
        <w:rPr>
          <w:rFonts w:ascii="Arial" w:hAnsi="Arial" w:cs="Arial"/>
          <w:szCs w:val="24"/>
        </w:rPr>
        <w:t xml:space="preserve"> Gresham HOME funds, </w:t>
      </w:r>
      <w:r w:rsidR="00C7172E">
        <w:rPr>
          <w:rFonts w:ascii="Arial" w:hAnsi="Arial" w:cs="Arial"/>
          <w:szCs w:val="24"/>
        </w:rPr>
        <w:t xml:space="preserve">$143,629 in FY 2021-22 Multnomah County HOME funds, </w:t>
      </w:r>
      <w:r w:rsidR="006A01D9" w:rsidRPr="004C557A">
        <w:rPr>
          <w:rFonts w:ascii="Arial" w:hAnsi="Arial" w:cs="Arial"/>
          <w:szCs w:val="24"/>
        </w:rPr>
        <w:t>$</w:t>
      </w:r>
      <w:r w:rsidR="0080100B">
        <w:rPr>
          <w:rFonts w:ascii="Arial" w:hAnsi="Arial" w:cs="Arial"/>
          <w:szCs w:val="24"/>
        </w:rPr>
        <w:t>35</w:t>
      </w:r>
      <w:r w:rsidR="00AB2FD9" w:rsidRPr="004C557A">
        <w:rPr>
          <w:rFonts w:ascii="Arial" w:hAnsi="Arial" w:cs="Arial"/>
          <w:szCs w:val="24"/>
        </w:rPr>
        <w:t>2,</w:t>
      </w:r>
      <w:r w:rsidR="0080100B">
        <w:rPr>
          <w:rFonts w:ascii="Arial" w:hAnsi="Arial" w:cs="Arial"/>
          <w:szCs w:val="24"/>
        </w:rPr>
        <w:t>8</w:t>
      </w:r>
      <w:r w:rsidR="00AB2FD9" w:rsidRPr="004C557A">
        <w:rPr>
          <w:rFonts w:ascii="Arial" w:hAnsi="Arial" w:cs="Arial"/>
          <w:szCs w:val="24"/>
        </w:rPr>
        <w:t>17</w:t>
      </w:r>
      <w:r w:rsidR="00C12BB1" w:rsidRPr="004C557A">
        <w:rPr>
          <w:rStyle w:val="CommentReference"/>
        </w:rPr>
        <w:t xml:space="preserve"> </w:t>
      </w:r>
      <w:r w:rsidRPr="004C557A">
        <w:rPr>
          <w:rFonts w:ascii="Arial" w:hAnsi="Arial" w:cs="Arial"/>
          <w:szCs w:val="24"/>
        </w:rPr>
        <w:t>in</w:t>
      </w:r>
      <w:r w:rsidRPr="00070E6A">
        <w:rPr>
          <w:rFonts w:ascii="Arial" w:hAnsi="Arial" w:cs="Arial"/>
          <w:szCs w:val="24"/>
        </w:rPr>
        <w:t xml:space="preserve"> carryover funds</w:t>
      </w:r>
      <w:r w:rsidR="00A52C42">
        <w:rPr>
          <w:rFonts w:ascii="Arial" w:hAnsi="Arial" w:cs="Arial"/>
          <w:szCs w:val="24"/>
        </w:rPr>
        <w:t>,</w:t>
      </w:r>
      <w:r w:rsidR="00170190" w:rsidRPr="00070E6A">
        <w:rPr>
          <w:rFonts w:ascii="Arial" w:hAnsi="Arial" w:cs="Arial"/>
          <w:szCs w:val="24"/>
        </w:rPr>
        <w:t xml:space="preserve"> </w:t>
      </w:r>
      <w:r w:rsidR="004E783F" w:rsidRPr="00070E6A">
        <w:rPr>
          <w:rFonts w:ascii="Arial" w:hAnsi="Arial" w:cs="Arial"/>
          <w:szCs w:val="24"/>
        </w:rPr>
        <w:t xml:space="preserve">and </w:t>
      </w:r>
      <w:r w:rsidR="00A52C42" w:rsidRPr="009324C9">
        <w:rPr>
          <w:rFonts w:ascii="Arial" w:hAnsi="Arial" w:cs="Arial"/>
          <w:szCs w:val="24"/>
        </w:rPr>
        <w:t>$</w:t>
      </w:r>
      <w:r w:rsidR="00AB2FD9" w:rsidRPr="009324C9">
        <w:rPr>
          <w:rFonts w:ascii="Arial" w:hAnsi="Arial" w:cs="Arial"/>
          <w:szCs w:val="24"/>
        </w:rPr>
        <w:t>0</w:t>
      </w:r>
      <w:r w:rsidR="00A52C42">
        <w:rPr>
          <w:rFonts w:ascii="Arial" w:hAnsi="Arial" w:cs="Arial"/>
          <w:szCs w:val="24"/>
        </w:rPr>
        <w:t xml:space="preserve"> </w:t>
      </w:r>
      <w:r w:rsidR="004E783F" w:rsidRPr="00070E6A">
        <w:rPr>
          <w:rFonts w:ascii="Arial" w:hAnsi="Arial" w:cs="Arial"/>
          <w:szCs w:val="24"/>
        </w:rPr>
        <w:t>Program Income</w:t>
      </w:r>
      <w:r w:rsidRPr="00070E6A">
        <w:rPr>
          <w:rFonts w:ascii="Arial" w:hAnsi="Arial" w:cs="Arial"/>
          <w:szCs w:val="24"/>
        </w:rPr>
        <w:t xml:space="preserve">. The City of Gresham will implement a portion of the HOME Program in the amount of </w:t>
      </w:r>
      <w:r w:rsidRPr="009324C9">
        <w:rPr>
          <w:rFonts w:ascii="Arial" w:hAnsi="Arial" w:cs="Arial"/>
          <w:szCs w:val="24"/>
        </w:rPr>
        <w:t>$</w:t>
      </w:r>
      <w:r w:rsidR="005F3AAF" w:rsidRPr="009324C9">
        <w:rPr>
          <w:rFonts w:ascii="Arial" w:hAnsi="Arial" w:cs="Arial"/>
          <w:szCs w:val="24"/>
        </w:rPr>
        <w:t>1,</w:t>
      </w:r>
      <w:r w:rsidR="00F949A0">
        <w:rPr>
          <w:rFonts w:ascii="Arial" w:hAnsi="Arial" w:cs="Arial"/>
          <w:szCs w:val="24"/>
        </w:rPr>
        <w:t>079,797</w:t>
      </w:r>
      <w:r w:rsidRPr="009324C9">
        <w:rPr>
          <w:rFonts w:ascii="Arial" w:hAnsi="Arial" w:cs="Arial"/>
          <w:szCs w:val="24"/>
        </w:rPr>
        <w:t xml:space="preserve"> in accordance</w:t>
      </w:r>
      <w:r w:rsidRPr="00070E6A">
        <w:rPr>
          <w:rFonts w:ascii="Arial" w:hAnsi="Arial" w:cs="Arial"/>
          <w:szCs w:val="24"/>
        </w:rPr>
        <w:t xml:space="preserve"> with the Budget (Exhibit A).  The balance of Gresham’s HOME Program funding </w:t>
      </w:r>
      <w:r w:rsidRPr="00AB2FD9">
        <w:rPr>
          <w:rFonts w:ascii="Arial" w:hAnsi="Arial" w:cs="Arial"/>
          <w:szCs w:val="24"/>
        </w:rPr>
        <w:t xml:space="preserve">is </w:t>
      </w:r>
      <w:r w:rsidR="004E783F" w:rsidRPr="00AB2FD9">
        <w:rPr>
          <w:rFonts w:ascii="Arial" w:hAnsi="Arial" w:cs="Arial"/>
          <w:szCs w:val="24"/>
        </w:rPr>
        <w:t>$</w:t>
      </w:r>
      <w:r w:rsidR="005F3AAF" w:rsidRPr="00AB2FD9">
        <w:rPr>
          <w:rFonts w:ascii="Arial" w:hAnsi="Arial" w:cs="Arial"/>
          <w:szCs w:val="24"/>
        </w:rPr>
        <w:t>3</w:t>
      </w:r>
      <w:r w:rsidR="00AB2FD9" w:rsidRPr="00AB2FD9">
        <w:rPr>
          <w:rFonts w:ascii="Arial" w:hAnsi="Arial" w:cs="Arial"/>
          <w:szCs w:val="24"/>
        </w:rPr>
        <w:t>4,255</w:t>
      </w:r>
      <w:r w:rsidR="00170190" w:rsidRPr="00070E6A">
        <w:rPr>
          <w:rFonts w:ascii="Arial" w:hAnsi="Arial" w:cs="Arial"/>
          <w:szCs w:val="24"/>
        </w:rPr>
        <w:t xml:space="preserve"> </w:t>
      </w:r>
      <w:r w:rsidRPr="00070E6A">
        <w:rPr>
          <w:rFonts w:ascii="Arial" w:hAnsi="Arial" w:cs="Arial"/>
          <w:szCs w:val="24"/>
        </w:rPr>
        <w:t>and will be administered by the City of Portland.  The allocation of funds to be administered by the City of Portland is detailed in the Budget (Exhibit A).</w:t>
      </w:r>
    </w:p>
    <w:p w14:paraId="57C812B6" w14:textId="77777777" w:rsidR="00114301" w:rsidRPr="00114301" w:rsidRDefault="00114301" w:rsidP="00114301">
      <w:pPr>
        <w:widowControl w:val="0"/>
        <w:spacing w:after="60"/>
        <w:ind w:left="360"/>
        <w:jc w:val="both"/>
        <w:rPr>
          <w:rFonts w:ascii="Arial" w:hAnsi="Arial" w:cs="Arial"/>
          <w:sz w:val="24"/>
          <w:szCs w:val="24"/>
        </w:rPr>
      </w:pPr>
    </w:p>
    <w:p w14:paraId="4B5D4C6C" w14:textId="77777777" w:rsidR="004D1C89" w:rsidRPr="004D1C89" w:rsidRDefault="00A6769F" w:rsidP="000F68D4">
      <w:pPr>
        <w:widowControl w:val="0"/>
        <w:numPr>
          <w:ilvl w:val="0"/>
          <w:numId w:val="8"/>
        </w:numPr>
        <w:tabs>
          <w:tab w:val="num" w:pos="360"/>
        </w:tabs>
        <w:spacing w:after="60"/>
        <w:ind w:left="360"/>
        <w:jc w:val="both"/>
        <w:rPr>
          <w:rFonts w:ascii="Arial" w:hAnsi="Arial" w:cs="Arial"/>
          <w:sz w:val="24"/>
          <w:szCs w:val="24"/>
        </w:rPr>
      </w:pPr>
      <w:r w:rsidRPr="004D1C89">
        <w:rPr>
          <w:rFonts w:ascii="Arial" w:hAnsi="Arial" w:cs="Arial"/>
          <w:sz w:val="24"/>
          <w:szCs w:val="24"/>
          <w:u w:val="single"/>
        </w:rPr>
        <w:t>Reporting</w:t>
      </w:r>
    </w:p>
    <w:p w14:paraId="3182A5B0" w14:textId="712A7BD7" w:rsidR="00A6769F" w:rsidRPr="004D1C89" w:rsidRDefault="00A6769F" w:rsidP="004D1C89">
      <w:pPr>
        <w:widowControl w:val="0"/>
        <w:spacing w:after="60"/>
        <w:ind w:left="360"/>
        <w:jc w:val="both"/>
        <w:rPr>
          <w:rFonts w:ascii="Arial" w:hAnsi="Arial" w:cs="Arial"/>
          <w:sz w:val="24"/>
          <w:szCs w:val="24"/>
        </w:rPr>
      </w:pPr>
      <w:r w:rsidRPr="009324C9">
        <w:rPr>
          <w:rFonts w:ascii="Arial" w:hAnsi="Arial" w:cs="Arial"/>
          <w:sz w:val="24"/>
          <w:szCs w:val="24"/>
        </w:rPr>
        <w:t xml:space="preserve">The </w:t>
      </w:r>
      <w:r w:rsidR="004D1C89" w:rsidRPr="009324C9">
        <w:rPr>
          <w:rFonts w:ascii="Arial" w:hAnsi="Arial" w:cs="Arial"/>
          <w:sz w:val="24"/>
          <w:szCs w:val="24"/>
        </w:rPr>
        <w:t>r</w:t>
      </w:r>
      <w:r w:rsidRPr="009324C9">
        <w:rPr>
          <w:rFonts w:ascii="Arial" w:hAnsi="Arial" w:cs="Arial"/>
          <w:sz w:val="24"/>
          <w:szCs w:val="24"/>
        </w:rPr>
        <w:t xml:space="preserve">eporting requirements are contained in Section </w:t>
      </w:r>
      <w:r w:rsidR="004D1C89" w:rsidRPr="009324C9">
        <w:rPr>
          <w:rFonts w:ascii="Arial" w:hAnsi="Arial" w:cs="Arial"/>
          <w:sz w:val="24"/>
          <w:szCs w:val="24"/>
        </w:rPr>
        <w:t>12</w:t>
      </w:r>
      <w:r w:rsidRPr="009324C9">
        <w:rPr>
          <w:rFonts w:ascii="Arial" w:hAnsi="Arial" w:cs="Arial"/>
          <w:sz w:val="24"/>
          <w:szCs w:val="24"/>
        </w:rPr>
        <w:t>.  Final reports are due</w:t>
      </w:r>
      <w:r w:rsidRPr="009324C9">
        <w:rPr>
          <w:rFonts w:ascii="Arial" w:hAnsi="Arial" w:cs="Arial"/>
          <w:b/>
          <w:sz w:val="24"/>
          <w:szCs w:val="24"/>
        </w:rPr>
        <w:t xml:space="preserve"> July 1</w:t>
      </w:r>
      <w:r w:rsidR="00170190" w:rsidRPr="009324C9">
        <w:rPr>
          <w:rFonts w:ascii="Arial" w:hAnsi="Arial" w:cs="Arial"/>
          <w:b/>
          <w:sz w:val="24"/>
          <w:szCs w:val="24"/>
        </w:rPr>
        <w:t>4</w:t>
      </w:r>
      <w:r w:rsidRPr="009324C9">
        <w:rPr>
          <w:rFonts w:ascii="Arial" w:hAnsi="Arial" w:cs="Arial"/>
          <w:b/>
          <w:sz w:val="24"/>
          <w:szCs w:val="24"/>
        </w:rPr>
        <w:t>, 20</w:t>
      </w:r>
      <w:r w:rsidR="00B1764C" w:rsidRPr="009324C9">
        <w:rPr>
          <w:rFonts w:ascii="Arial" w:hAnsi="Arial" w:cs="Arial"/>
          <w:b/>
          <w:sz w:val="24"/>
          <w:szCs w:val="24"/>
        </w:rPr>
        <w:t>2</w:t>
      </w:r>
      <w:r w:rsidR="00C7172E">
        <w:rPr>
          <w:rFonts w:ascii="Arial" w:hAnsi="Arial" w:cs="Arial"/>
          <w:b/>
          <w:sz w:val="24"/>
          <w:szCs w:val="24"/>
        </w:rPr>
        <w:t>2</w:t>
      </w:r>
      <w:r w:rsidRPr="009324C9">
        <w:rPr>
          <w:rFonts w:ascii="Arial" w:hAnsi="Arial" w:cs="Arial"/>
          <w:sz w:val="24"/>
          <w:szCs w:val="24"/>
        </w:rPr>
        <w:t>.</w:t>
      </w:r>
    </w:p>
    <w:p w14:paraId="7C1B150B" w14:textId="77777777" w:rsidR="00A6769F" w:rsidRPr="00240322" w:rsidRDefault="00A6769F" w:rsidP="00A6769F">
      <w:pPr>
        <w:spacing w:after="60"/>
        <w:ind w:left="360"/>
        <w:rPr>
          <w:rFonts w:ascii="Arial" w:hAnsi="Arial" w:cs="Arial"/>
          <w:sz w:val="24"/>
          <w:szCs w:val="24"/>
          <w:u w:val="single"/>
        </w:rPr>
      </w:pPr>
    </w:p>
    <w:p w14:paraId="1174E241" w14:textId="77777777" w:rsidR="004D1C89" w:rsidRPr="004D1C89" w:rsidRDefault="00A6769F" w:rsidP="00A958D8">
      <w:pPr>
        <w:widowControl w:val="0"/>
        <w:numPr>
          <w:ilvl w:val="0"/>
          <w:numId w:val="8"/>
        </w:numPr>
        <w:tabs>
          <w:tab w:val="num" w:pos="360"/>
        </w:tabs>
        <w:spacing w:after="60"/>
        <w:ind w:left="360"/>
        <w:jc w:val="both"/>
        <w:rPr>
          <w:rFonts w:ascii="Arial" w:hAnsi="Arial" w:cs="Arial"/>
          <w:sz w:val="24"/>
          <w:szCs w:val="24"/>
        </w:rPr>
      </w:pPr>
      <w:r w:rsidRPr="009D16BA">
        <w:rPr>
          <w:rFonts w:ascii="Arial" w:hAnsi="Arial" w:cs="Arial"/>
          <w:sz w:val="24"/>
          <w:szCs w:val="24"/>
          <w:u w:val="single"/>
        </w:rPr>
        <w:t>Funding</w:t>
      </w:r>
    </w:p>
    <w:p w14:paraId="36034B78" w14:textId="7B839784" w:rsidR="00872B29" w:rsidRDefault="00A6769F" w:rsidP="004D1C89">
      <w:pPr>
        <w:widowControl w:val="0"/>
        <w:spacing w:after="60"/>
        <w:ind w:left="360"/>
        <w:jc w:val="both"/>
        <w:rPr>
          <w:rFonts w:ascii="Arial" w:hAnsi="Arial" w:cs="Arial"/>
          <w:sz w:val="24"/>
          <w:szCs w:val="24"/>
        </w:rPr>
      </w:pPr>
      <w:r w:rsidRPr="009D16BA">
        <w:rPr>
          <w:rFonts w:ascii="Arial" w:hAnsi="Arial" w:cs="Arial"/>
          <w:sz w:val="24"/>
          <w:szCs w:val="24"/>
        </w:rPr>
        <w:t>This IGA may be paid fully or in part with funding from the U.S. Housing and Urban Development Department (HUD).</w:t>
      </w:r>
    </w:p>
    <w:p w14:paraId="02589BAB" w14:textId="77777777" w:rsidR="00872B29" w:rsidRDefault="00872B29">
      <w:pPr>
        <w:rPr>
          <w:rFonts w:ascii="Arial" w:hAnsi="Arial" w:cs="Arial"/>
          <w:sz w:val="24"/>
          <w:szCs w:val="24"/>
        </w:rPr>
      </w:pPr>
      <w:r>
        <w:rPr>
          <w:rFonts w:ascii="Arial" w:hAnsi="Arial" w:cs="Arial"/>
          <w:sz w:val="24"/>
          <w:szCs w:val="24"/>
        </w:rPr>
        <w:br w:type="page"/>
      </w:r>
    </w:p>
    <w:p w14:paraId="34C60B6B" w14:textId="77777777" w:rsidR="004D1C89" w:rsidRPr="004D1C89" w:rsidRDefault="00A6769F" w:rsidP="00A958D8">
      <w:pPr>
        <w:widowControl w:val="0"/>
        <w:numPr>
          <w:ilvl w:val="0"/>
          <w:numId w:val="8"/>
        </w:numPr>
        <w:tabs>
          <w:tab w:val="num" w:pos="360"/>
        </w:tabs>
        <w:spacing w:after="60"/>
        <w:ind w:left="360"/>
        <w:jc w:val="both"/>
        <w:rPr>
          <w:rFonts w:ascii="Arial" w:hAnsi="Arial" w:cs="Arial"/>
          <w:sz w:val="24"/>
          <w:szCs w:val="24"/>
        </w:rPr>
      </w:pPr>
      <w:r w:rsidRPr="009D16BA">
        <w:rPr>
          <w:rFonts w:ascii="Arial" w:hAnsi="Arial" w:cs="Arial"/>
          <w:sz w:val="24"/>
          <w:szCs w:val="24"/>
          <w:u w:val="single"/>
        </w:rPr>
        <w:lastRenderedPageBreak/>
        <w:t>List of Exhibits</w:t>
      </w:r>
    </w:p>
    <w:p w14:paraId="55B2AEAF" w14:textId="3A0A35FD" w:rsidR="00A6769F" w:rsidRDefault="00A6769F" w:rsidP="004D1C89">
      <w:pPr>
        <w:widowControl w:val="0"/>
        <w:spacing w:after="60"/>
        <w:ind w:left="360"/>
        <w:jc w:val="both"/>
        <w:rPr>
          <w:rFonts w:ascii="Arial" w:hAnsi="Arial" w:cs="Arial"/>
          <w:sz w:val="24"/>
          <w:szCs w:val="24"/>
        </w:rPr>
      </w:pPr>
      <w:r w:rsidRPr="009D16BA">
        <w:rPr>
          <w:rFonts w:ascii="Arial" w:hAnsi="Arial" w:cs="Arial"/>
          <w:sz w:val="24"/>
          <w:szCs w:val="24"/>
        </w:rPr>
        <w:t>The following Exhibits are attached hereto and incorporated by reference into this IGA:</w:t>
      </w:r>
    </w:p>
    <w:p w14:paraId="4C56E85E" w14:textId="77777777" w:rsidR="007B3B75" w:rsidRPr="009D16BA" w:rsidRDefault="007B3B75" w:rsidP="007B3B75">
      <w:pPr>
        <w:widowControl w:val="0"/>
        <w:spacing w:after="60"/>
        <w:jc w:val="both"/>
        <w:rPr>
          <w:rFonts w:ascii="Arial" w:hAnsi="Arial" w:cs="Arial"/>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413"/>
        <w:gridCol w:w="1728"/>
      </w:tblGrid>
      <w:tr w:rsidR="00A6769F" w:rsidRPr="00240322" w14:paraId="0497BDFB" w14:textId="77777777" w:rsidTr="0043271F">
        <w:trPr>
          <w:trHeight w:val="283"/>
        </w:trPr>
        <w:tc>
          <w:tcPr>
            <w:tcW w:w="1327" w:type="dxa"/>
            <w:vAlign w:val="center"/>
          </w:tcPr>
          <w:p w14:paraId="3D1D38E3" w14:textId="77777777" w:rsidR="00A6769F" w:rsidRPr="00240322" w:rsidRDefault="00A6769F" w:rsidP="00AE2563">
            <w:pPr>
              <w:rPr>
                <w:rFonts w:ascii="Arial" w:hAnsi="Arial" w:cs="Arial"/>
                <w:sz w:val="24"/>
                <w:szCs w:val="24"/>
              </w:rPr>
            </w:pPr>
            <w:r w:rsidRPr="00240322">
              <w:rPr>
                <w:rFonts w:ascii="Arial" w:hAnsi="Arial" w:cs="Arial"/>
                <w:sz w:val="24"/>
                <w:szCs w:val="24"/>
                <w:u w:val="single"/>
              </w:rPr>
              <w:t>Document</w:t>
            </w:r>
          </w:p>
        </w:tc>
        <w:tc>
          <w:tcPr>
            <w:tcW w:w="6413" w:type="dxa"/>
            <w:vAlign w:val="center"/>
          </w:tcPr>
          <w:p w14:paraId="251C3508" w14:textId="77777777" w:rsidR="00A6769F" w:rsidRPr="00240322" w:rsidRDefault="00A6769F" w:rsidP="00AE2563">
            <w:pPr>
              <w:rPr>
                <w:rFonts w:ascii="Arial" w:hAnsi="Arial" w:cs="Arial"/>
                <w:sz w:val="24"/>
                <w:szCs w:val="24"/>
              </w:rPr>
            </w:pPr>
            <w:r w:rsidRPr="00240322">
              <w:rPr>
                <w:rFonts w:ascii="Arial" w:hAnsi="Arial" w:cs="Arial"/>
                <w:sz w:val="24"/>
                <w:szCs w:val="24"/>
                <w:u w:val="single"/>
              </w:rPr>
              <w:t>Description</w:t>
            </w:r>
          </w:p>
        </w:tc>
        <w:tc>
          <w:tcPr>
            <w:tcW w:w="1728" w:type="dxa"/>
            <w:vAlign w:val="center"/>
          </w:tcPr>
          <w:p w14:paraId="462B4235" w14:textId="77777777" w:rsidR="00A6769F" w:rsidRPr="00240322" w:rsidRDefault="00A6769F" w:rsidP="00AE2563">
            <w:pPr>
              <w:rPr>
                <w:rFonts w:ascii="Arial" w:hAnsi="Arial" w:cs="Arial"/>
                <w:sz w:val="24"/>
                <w:szCs w:val="24"/>
              </w:rPr>
            </w:pPr>
            <w:r w:rsidRPr="00240322">
              <w:rPr>
                <w:rFonts w:ascii="Arial" w:hAnsi="Arial" w:cs="Arial"/>
                <w:sz w:val="24"/>
                <w:szCs w:val="24"/>
                <w:u w:val="single"/>
              </w:rPr>
              <w:t>No. of Pages</w:t>
            </w:r>
          </w:p>
        </w:tc>
      </w:tr>
      <w:tr w:rsidR="00A6769F" w:rsidRPr="00240322" w14:paraId="69D8F33C" w14:textId="77777777" w:rsidTr="0043271F">
        <w:trPr>
          <w:trHeight w:val="283"/>
        </w:trPr>
        <w:tc>
          <w:tcPr>
            <w:tcW w:w="1327" w:type="dxa"/>
            <w:vAlign w:val="center"/>
          </w:tcPr>
          <w:p w14:paraId="4C5FE7AD" w14:textId="77777777" w:rsidR="00A6769F" w:rsidRPr="00240322" w:rsidRDefault="00A6769F" w:rsidP="0043271F">
            <w:pPr>
              <w:rPr>
                <w:rFonts w:ascii="Arial" w:hAnsi="Arial" w:cs="Arial"/>
                <w:sz w:val="24"/>
                <w:szCs w:val="24"/>
              </w:rPr>
            </w:pPr>
            <w:r w:rsidRPr="00240322">
              <w:rPr>
                <w:rFonts w:ascii="Arial" w:hAnsi="Arial" w:cs="Arial"/>
                <w:sz w:val="24"/>
                <w:szCs w:val="24"/>
              </w:rPr>
              <w:t>Exhibit A</w:t>
            </w:r>
          </w:p>
        </w:tc>
        <w:tc>
          <w:tcPr>
            <w:tcW w:w="6413" w:type="dxa"/>
            <w:vAlign w:val="center"/>
          </w:tcPr>
          <w:p w14:paraId="1647B91C" w14:textId="77777777" w:rsidR="00A6769F" w:rsidRPr="00240322" w:rsidRDefault="00A6769F" w:rsidP="00AE2563">
            <w:pPr>
              <w:rPr>
                <w:rFonts w:ascii="Arial" w:hAnsi="Arial" w:cs="Arial"/>
                <w:sz w:val="24"/>
                <w:szCs w:val="24"/>
              </w:rPr>
            </w:pPr>
            <w:r w:rsidRPr="00240322">
              <w:rPr>
                <w:rFonts w:ascii="Arial" w:hAnsi="Arial" w:cs="Arial"/>
                <w:sz w:val="24"/>
                <w:szCs w:val="24"/>
              </w:rPr>
              <w:t>Budget</w:t>
            </w:r>
          </w:p>
        </w:tc>
        <w:tc>
          <w:tcPr>
            <w:tcW w:w="1728" w:type="dxa"/>
            <w:vAlign w:val="center"/>
          </w:tcPr>
          <w:p w14:paraId="589511CE" w14:textId="77777777" w:rsidR="00A6769F" w:rsidRPr="00431576" w:rsidRDefault="00A6769F" w:rsidP="00AE2563">
            <w:pPr>
              <w:rPr>
                <w:rFonts w:ascii="Arial" w:hAnsi="Arial" w:cs="Arial"/>
                <w:sz w:val="24"/>
                <w:szCs w:val="24"/>
              </w:rPr>
            </w:pPr>
            <w:r w:rsidRPr="00431576">
              <w:rPr>
                <w:rFonts w:ascii="Arial" w:hAnsi="Arial" w:cs="Arial"/>
                <w:sz w:val="24"/>
                <w:szCs w:val="24"/>
              </w:rPr>
              <w:t>1</w:t>
            </w:r>
          </w:p>
        </w:tc>
      </w:tr>
      <w:tr w:rsidR="00A6769F" w:rsidRPr="00240322" w14:paraId="42A8B1B9" w14:textId="77777777" w:rsidTr="0043271F">
        <w:trPr>
          <w:trHeight w:val="283"/>
        </w:trPr>
        <w:tc>
          <w:tcPr>
            <w:tcW w:w="1327" w:type="dxa"/>
            <w:vAlign w:val="center"/>
          </w:tcPr>
          <w:p w14:paraId="42F8381D" w14:textId="77777777" w:rsidR="00A6769F" w:rsidRPr="00240322" w:rsidRDefault="00A6769F" w:rsidP="00AE2563">
            <w:pPr>
              <w:rPr>
                <w:rFonts w:ascii="Arial" w:hAnsi="Arial" w:cs="Arial"/>
                <w:sz w:val="24"/>
                <w:szCs w:val="24"/>
              </w:rPr>
            </w:pPr>
            <w:r w:rsidRPr="00240322">
              <w:rPr>
                <w:rFonts w:ascii="Arial" w:hAnsi="Arial" w:cs="Arial"/>
                <w:sz w:val="24"/>
                <w:szCs w:val="24"/>
              </w:rPr>
              <w:t>Exhibit B</w:t>
            </w:r>
          </w:p>
        </w:tc>
        <w:tc>
          <w:tcPr>
            <w:tcW w:w="6413" w:type="dxa"/>
            <w:vAlign w:val="center"/>
          </w:tcPr>
          <w:p w14:paraId="478D78EA" w14:textId="77777777" w:rsidR="00A6769F" w:rsidRPr="00240322" w:rsidRDefault="00A6769F" w:rsidP="00AE2563">
            <w:pPr>
              <w:rPr>
                <w:rFonts w:ascii="Arial" w:hAnsi="Arial" w:cs="Arial"/>
                <w:sz w:val="24"/>
                <w:szCs w:val="24"/>
              </w:rPr>
            </w:pPr>
            <w:r w:rsidRPr="00240322">
              <w:rPr>
                <w:rFonts w:ascii="Arial" w:hAnsi="Arial" w:cs="Arial"/>
                <w:sz w:val="24"/>
                <w:szCs w:val="24"/>
              </w:rPr>
              <w:t>Contractor Information</w:t>
            </w:r>
          </w:p>
        </w:tc>
        <w:tc>
          <w:tcPr>
            <w:tcW w:w="1728" w:type="dxa"/>
            <w:vAlign w:val="center"/>
          </w:tcPr>
          <w:p w14:paraId="196494AF" w14:textId="77777777" w:rsidR="00A6769F" w:rsidRPr="00431576" w:rsidRDefault="00A6769F" w:rsidP="00AE2563">
            <w:pPr>
              <w:rPr>
                <w:rFonts w:ascii="Arial" w:hAnsi="Arial" w:cs="Arial"/>
                <w:sz w:val="24"/>
                <w:szCs w:val="24"/>
              </w:rPr>
            </w:pPr>
            <w:r w:rsidRPr="00431576">
              <w:rPr>
                <w:rFonts w:ascii="Arial" w:hAnsi="Arial" w:cs="Arial"/>
                <w:sz w:val="24"/>
                <w:szCs w:val="24"/>
              </w:rPr>
              <w:t>1</w:t>
            </w:r>
          </w:p>
        </w:tc>
      </w:tr>
      <w:tr w:rsidR="00CA624E" w:rsidRPr="00240322" w14:paraId="0710A7B6" w14:textId="77777777" w:rsidTr="0043271F">
        <w:trPr>
          <w:trHeight w:val="283"/>
        </w:trPr>
        <w:tc>
          <w:tcPr>
            <w:tcW w:w="1327" w:type="dxa"/>
            <w:vAlign w:val="center"/>
          </w:tcPr>
          <w:p w14:paraId="5CB6F03B" w14:textId="77777777" w:rsidR="00CA624E" w:rsidRPr="00240322" w:rsidRDefault="00CA624E" w:rsidP="00AE2563">
            <w:pPr>
              <w:rPr>
                <w:rFonts w:ascii="Arial" w:hAnsi="Arial" w:cs="Arial"/>
                <w:sz w:val="24"/>
                <w:szCs w:val="24"/>
              </w:rPr>
            </w:pPr>
            <w:r w:rsidRPr="00240322">
              <w:rPr>
                <w:rFonts w:ascii="Arial" w:hAnsi="Arial" w:cs="Arial"/>
                <w:sz w:val="24"/>
                <w:szCs w:val="24"/>
              </w:rPr>
              <w:t>Exhibit C</w:t>
            </w:r>
          </w:p>
        </w:tc>
        <w:tc>
          <w:tcPr>
            <w:tcW w:w="6413" w:type="dxa"/>
            <w:vAlign w:val="center"/>
          </w:tcPr>
          <w:p w14:paraId="712AE218" w14:textId="77777777" w:rsidR="00CA624E" w:rsidRPr="00240322" w:rsidRDefault="00CA624E" w:rsidP="00AE2563">
            <w:pPr>
              <w:rPr>
                <w:rFonts w:ascii="Arial" w:hAnsi="Arial" w:cs="Arial"/>
                <w:sz w:val="24"/>
                <w:szCs w:val="24"/>
              </w:rPr>
            </w:pPr>
            <w:r w:rsidRPr="00240322">
              <w:rPr>
                <w:rFonts w:ascii="Arial" w:hAnsi="Arial" w:cs="Arial"/>
                <w:sz w:val="24"/>
                <w:szCs w:val="24"/>
              </w:rPr>
              <w:t xml:space="preserve">General Terms and Conditions for Subrecipient Contracts </w:t>
            </w:r>
          </w:p>
        </w:tc>
        <w:tc>
          <w:tcPr>
            <w:tcW w:w="1728" w:type="dxa"/>
            <w:vAlign w:val="center"/>
          </w:tcPr>
          <w:p w14:paraId="1530AAAF" w14:textId="6BE5325F" w:rsidR="00CA624E" w:rsidRPr="00431576" w:rsidRDefault="000435B9" w:rsidP="00AE2563">
            <w:pPr>
              <w:rPr>
                <w:rFonts w:ascii="Arial" w:hAnsi="Arial" w:cs="Arial"/>
                <w:sz w:val="24"/>
                <w:szCs w:val="24"/>
              </w:rPr>
            </w:pPr>
            <w:r w:rsidRPr="00431576">
              <w:rPr>
                <w:rFonts w:ascii="Arial" w:hAnsi="Arial" w:cs="Arial"/>
                <w:sz w:val="24"/>
                <w:szCs w:val="24"/>
              </w:rPr>
              <w:t>9</w:t>
            </w:r>
          </w:p>
        </w:tc>
      </w:tr>
    </w:tbl>
    <w:p w14:paraId="24FEA412" w14:textId="77777777" w:rsidR="00AE2563" w:rsidRPr="00240322" w:rsidRDefault="00AE2563" w:rsidP="00AE2563">
      <w:pPr>
        <w:widowControl w:val="0"/>
        <w:tabs>
          <w:tab w:val="left" w:pos="720"/>
          <w:tab w:val="right" w:pos="7200"/>
        </w:tabs>
        <w:spacing w:after="120"/>
        <w:jc w:val="left"/>
        <w:rPr>
          <w:rFonts w:ascii="Arial" w:hAnsi="Arial" w:cs="Arial"/>
          <w:sz w:val="24"/>
          <w:szCs w:val="24"/>
          <w:u w:val="single"/>
        </w:rPr>
      </w:pPr>
    </w:p>
    <w:p w14:paraId="57E90DCB" w14:textId="26390FFC" w:rsidR="00A6769F" w:rsidRPr="00386451" w:rsidRDefault="00A6769F" w:rsidP="00386451">
      <w:pPr>
        <w:pStyle w:val="ListParagraph"/>
        <w:numPr>
          <w:ilvl w:val="0"/>
          <w:numId w:val="8"/>
        </w:numPr>
        <w:tabs>
          <w:tab w:val="left" w:pos="720"/>
          <w:tab w:val="right" w:pos="7200"/>
        </w:tabs>
        <w:spacing w:after="120"/>
        <w:rPr>
          <w:rFonts w:ascii="Arial" w:hAnsi="Arial" w:cs="Arial"/>
          <w:szCs w:val="24"/>
        </w:rPr>
      </w:pPr>
      <w:r w:rsidRPr="00386451">
        <w:rPr>
          <w:rFonts w:ascii="Arial" w:hAnsi="Arial" w:cs="Arial"/>
          <w:szCs w:val="24"/>
          <w:u w:val="single"/>
        </w:rPr>
        <w:t>Definitions</w:t>
      </w:r>
    </w:p>
    <w:p w14:paraId="22C31AFC" w14:textId="77777777" w:rsidR="00A6769F" w:rsidRDefault="00A6769F" w:rsidP="00A6769F">
      <w:pPr>
        <w:widowControl w:val="0"/>
        <w:numPr>
          <w:ilvl w:val="0"/>
          <w:numId w:val="11"/>
        </w:numPr>
        <w:tabs>
          <w:tab w:val="clear" w:pos="1080"/>
        </w:tabs>
        <w:spacing w:after="0"/>
        <w:ind w:left="1440" w:right="720" w:hanging="720"/>
        <w:jc w:val="left"/>
        <w:rPr>
          <w:rFonts w:ascii="Arial" w:hAnsi="Arial" w:cs="Arial"/>
          <w:sz w:val="24"/>
          <w:szCs w:val="24"/>
        </w:rPr>
      </w:pPr>
      <w:r w:rsidRPr="00240322">
        <w:rPr>
          <w:rFonts w:ascii="Arial" w:hAnsi="Arial" w:cs="Arial"/>
          <w:sz w:val="24"/>
          <w:szCs w:val="24"/>
        </w:rPr>
        <w:t>Integrated Disbursement and Information System (IDIS):  The system for managing disbursement of funds in the HOME Program.</w:t>
      </w:r>
    </w:p>
    <w:p w14:paraId="31EF0127" w14:textId="77777777" w:rsidR="009D16BA" w:rsidRPr="00240322" w:rsidRDefault="009D16BA" w:rsidP="009D16BA">
      <w:pPr>
        <w:widowControl w:val="0"/>
        <w:spacing w:after="0"/>
        <w:ind w:left="1440" w:right="720"/>
        <w:jc w:val="left"/>
        <w:rPr>
          <w:rFonts w:ascii="Arial" w:hAnsi="Arial" w:cs="Arial"/>
          <w:sz w:val="24"/>
          <w:szCs w:val="24"/>
        </w:rPr>
      </w:pPr>
    </w:p>
    <w:p w14:paraId="390BF336" w14:textId="77777777" w:rsidR="00A6769F" w:rsidRDefault="00A6769F" w:rsidP="00A6769F">
      <w:pPr>
        <w:widowControl w:val="0"/>
        <w:numPr>
          <w:ilvl w:val="0"/>
          <w:numId w:val="11"/>
        </w:numPr>
        <w:tabs>
          <w:tab w:val="clear" w:pos="1080"/>
        </w:tabs>
        <w:spacing w:after="0"/>
        <w:ind w:left="1440" w:right="720" w:hanging="720"/>
        <w:jc w:val="left"/>
        <w:rPr>
          <w:rFonts w:ascii="Arial" w:hAnsi="Arial" w:cs="Arial"/>
          <w:sz w:val="24"/>
          <w:szCs w:val="24"/>
        </w:rPr>
      </w:pPr>
      <w:r w:rsidRPr="00240322">
        <w:rPr>
          <w:rFonts w:ascii="Arial" w:hAnsi="Arial" w:cs="Arial"/>
          <w:sz w:val="24"/>
          <w:szCs w:val="24"/>
        </w:rPr>
        <w:t>Community Housing Development Organization (CHDO):  A community-based, nonprofit housing organization as defined at 24 CFR 92.2.</w:t>
      </w:r>
    </w:p>
    <w:p w14:paraId="1A7E2162" w14:textId="77777777" w:rsidR="009D16BA" w:rsidRDefault="009D16BA" w:rsidP="009D16BA">
      <w:pPr>
        <w:pStyle w:val="ListParagraph"/>
        <w:rPr>
          <w:rFonts w:ascii="Arial" w:hAnsi="Arial" w:cs="Arial"/>
          <w:szCs w:val="24"/>
        </w:rPr>
      </w:pPr>
    </w:p>
    <w:p w14:paraId="73D35A01" w14:textId="77777777" w:rsidR="00A6769F" w:rsidRPr="009D16BA" w:rsidRDefault="00A6769F" w:rsidP="009D16BA">
      <w:pPr>
        <w:widowControl w:val="0"/>
        <w:numPr>
          <w:ilvl w:val="0"/>
          <w:numId w:val="11"/>
        </w:numPr>
        <w:tabs>
          <w:tab w:val="clear" w:pos="1080"/>
        </w:tabs>
        <w:spacing w:after="0"/>
        <w:ind w:left="1440" w:right="720" w:hanging="720"/>
        <w:jc w:val="left"/>
        <w:rPr>
          <w:rFonts w:ascii="Arial" w:hAnsi="Arial" w:cs="Arial"/>
          <w:sz w:val="24"/>
          <w:szCs w:val="24"/>
        </w:rPr>
      </w:pPr>
      <w:r w:rsidRPr="009D16BA">
        <w:rPr>
          <w:rFonts w:ascii="Arial" w:hAnsi="Arial" w:cs="Arial"/>
          <w:sz w:val="24"/>
          <w:szCs w:val="24"/>
        </w:rPr>
        <w:t>Period of Affordability: The length of time that HUD tenant guidelines, rent affordability, Housing Quality Standards and other compliance regulations apply to a particular project.  The period of affordability will vary based on the HOME activity and the amount of subsidy provided to the project per 24 CFR Part 92.252.</w:t>
      </w:r>
    </w:p>
    <w:p w14:paraId="0E30DB6B" w14:textId="77777777" w:rsidR="00AE2563" w:rsidRPr="00240322" w:rsidRDefault="00AE2563" w:rsidP="00AE2563">
      <w:pPr>
        <w:widowControl w:val="0"/>
        <w:spacing w:after="0"/>
        <w:ind w:left="1440" w:right="720"/>
        <w:jc w:val="left"/>
        <w:rPr>
          <w:rFonts w:ascii="Arial" w:hAnsi="Arial" w:cs="Arial"/>
          <w:sz w:val="24"/>
          <w:szCs w:val="24"/>
        </w:rPr>
      </w:pPr>
    </w:p>
    <w:p w14:paraId="7BB034CE" w14:textId="77777777" w:rsidR="004D1C89" w:rsidRDefault="00A6769F" w:rsidP="00386451">
      <w:pPr>
        <w:pStyle w:val="ListParagraph"/>
        <w:numPr>
          <w:ilvl w:val="0"/>
          <w:numId w:val="8"/>
        </w:numPr>
        <w:jc w:val="both"/>
        <w:rPr>
          <w:rFonts w:ascii="Arial" w:hAnsi="Arial" w:cs="Arial"/>
          <w:szCs w:val="24"/>
          <w:u w:val="single"/>
        </w:rPr>
      </w:pPr>
      <w:r w:rsidRPr="00386451">
        <w:rPr>
          <w:rFonts w:ascii="Arial" w:hAnsi="Arial" w:cs="Arial"/>
          <w:szCs w:val="24"/>
          <w:u w:val="single"/>
        </w:rPr>
        <w:t>Scope of Services to be car</w:t>
      </w:r>
      <w:r w:rsidR="009D16BA" w:rsidRPr="00386451">
        <w:rPr>
          <w:rFonts w:ascii="Arial" w:hAnsi="Arial" w:cs="Arial"/>
          <w:szCs w:val="24"/>
          <w:u w:val="single"/>
        </w:rPr>
        <w:t>ried out by the City of Gresham</w:t>
      </w:r>
    </w:p>
    <w:p w14:paraId="035E3F83" w14:textId="31E6CCEE" w:rsidR="00A6769F" w:rsidRPr="00386451" w:rsidRDefault="00A6769F" w:rsidP="004D1C89">
      <w:pPr>
        <w:pStyle w:val="ListParagraph"/>
        <w:jc w:val="both"/>
        <w:rPr>
          <w:rFonts w:ascii="Arial" w:hAnsi="Arial" w:cs="Arial"/>
          <w:szCs w:val="24"/>
          <w:u w:val="single"/>
        </w:rPr>
      </w:pPr>
      <w:r w:rsidRPr="00386451">
        <w:rPr>
          <w:rFonts w:ascii="Arial" w:hAnsi="Arial" w:cs="Arial"/>
          <w:szCs w:val="24"/>
        </w:rPr>
        <w:t xml:space="preserve">Under the terms of the Consortium Agreement, a portion of the HOME grant is </w:t>
      </w:r>
      <w:r w:rsidR="00AE2563" w:rsidRPr="00386451">
        <w:rPr>
          <w:rFonts w:ascii="Arial" w:hAnsi="Arial" w:cs="Arial"/>
          <w:szCs w:val="24"/>
        </w:rPr>
        <w:t>provided directly to Gresham</w:t>
      </w:r>
      <w:r w:rsidR="009D16BA" w:rsidRPr="00386451">
        <w:rPr>
          <w:rFonts w:ascii="Arial" w:hAnsi="Arial" w:cs="Arial"/>
          <w:szCs w:val="24"/>
        </w:rPr>
        <w:t xml:space="preserve"> </w:t>
      </w:r>
      <w:r w:rsidRPr="00386451">
        <w:rPr>
          <w:rFonts w:ascii="Arial" w:hAnsi="Arial" w:cs="Arial"/>
          <w:szCs w:val="24"/>
        </w:rPr>
        <w:t xml:space="preserve">and Gresham is entitled to plan for the expenditure of such funds.  </w:t>
      </w:r>
      <w:r w:rsidR="00AE2563" w:rsidRPr="00386451">
        <w:rPr>
          <w:rFonts w:ascii="Arial" w:hAnsi="Arial" w:cs="Arial"/>
          <w:szCs w:val="24"/>
        </w:rPr>
        <w:t xml:space="preserve">Gresham has allocated its grant award as further described below: </w:t>
      </w:r>
      <w:r w:rsidRPr="00386451">
        <w:rPr>
          <w:rFonts w:ascii="Arial" w:hAnsi="Arial" w:cs="Arial"/>
          <w:szCs w:val="24"/>
        </w:rPr>
        <w:t xml:space="preserve"> </w:t>
      </w:r>
    </w:p>
    <w:p w14:paraId="51B73B70" w14:textId="77777777" w:rsidR="00A6769F" w:rsidRPr="00240322" w:rsidRDefault="00A6769F" w:rsidP="00386451">
      <w:pPr>
        <w:spacing w:after="0"/>
        <w:ind w:left="1440"/>
        <w:jc w:val="left"/>
        <w:rPr>
          <w:rFonts w:ascii="Arial" w:hAnsi="Arial" w:cs="Arial"/>
          <w:sz w:val="24"/>
          <w:szCs w:val="24"/>
        </w:rPr>
      </w:pPr>
    </w:p>
    <w:p w14:paraId="7D701006" w14:textId="628D18D1" w:rsidR="00A6769F" w:rsidRPr="00240322" w:rsidRDefault="00B95CD0" w:rsidP="00386451">
      <w:pPr>
        <w:widowControl w:val="0"/>
        <w:numPr>
          <w:ilvl w:val="1"/>
          <w:numId w:val="2"/>
        </w:numPr>
        <w:spacing w:after="0"/>
        <w:jc w:val="left"/>
        <w:rPr>
          <w:rFonts w:ascii="Arial" w:hAnsi="Arial" w:cs="Arial"/>
          <w:sz w:val="24"/>
          <w:szCs w:val="24"/>
        </w:rPr>
      </w:pPr>
      <w:r>
        <w:rPr>
          <w:rFonts w:ascii="Arial" w:hAnsi="Arial" w:cs="Arial"/>
          <w:sz w:val="24"/>
          <w:szCs w:val="24"/>
          <w:u w:val="single"/>
        </w:rPr>
        <w:t>Rent Assistance</w:t>
      </w:r>
      <w:r w:rsidR="00A6769F" w:rsidRPr="00240322">
        <w:rPr>
          <w:rFonts w:ascii="Arial" w:hAnsi="Arial" w:cs="Arial"/>
          <w:sz w:val="24"/>
          <w:szCs w:val="24"/>
          <w:u w:val="single"/>
        </w:rPr>
        <w:t>, Human Solutions, Inc</w:t>
      </w:r>
      <w:r w:rsidR="00A6769F" w:rsidRPr="00AB2FD9">
        <w:rPr>
          <w:rFonts w:ascii="Arial" w:hAnsi="Arial" w:cs="Arial"/>
          <w:sz w:val="24"/>
          <w:szCs w:val="24"/>
          <w:u w:val="single"/>
        </w:rPr>
        <w:t xml:space="preserve">. </w:t>
      </w:r>
      <w:r w:rsidR="00C9016A" w:rsidRPr="00AB2FD9">
        <w:rPr>
          <w:rFonts w:ascii="Arial" w:hAnsi="Arial" w:cs="Arial"/>
          <w:sz w:val="24"/>
          <w:szCs w:val="24"/>
          <w:u w:val="single"/>
        </w:rPr>
        <w:t xml:space="preserve"> ($</w:t>
      </w:r>
      <w:r w:rsidR="00AB2FD9" w:rsidRPr="00AB2FD9">
        <w:rPr>
          <w:rFonts w:ascii="Arial" w:hAnsi="Arial" w:cs="Arial"/>
          <w:sz w:val="24"/>
          <w:szCs w:val="24"/>
          <w:u w:val="single"/>
        </w:rPr>
        <w:t>344,400</w:t>
      </w:r>
      <w:r w:rsidR="00A6769F" w:rsidRPr="00AB2FD9">
        <w:rPr>
          <w:rFonts w:ascii="Arial" w:hAnsi="Arial" w:cs="Arial"/>
          <w:sz w:val="24"/>
          <w:szCs w:val="24"/>
          <w:u w:val="single"/>
        </w:rPr>
        <w:t>)</w:t>
      </w:r>
    </w:p>
    <w:p w14:paraId="4F23BC4D" w14:textId="1FBE4F79" w:rsidR="00A6769F" w:rsidRDefault="00A6769F" w:rsidP="00386451">
      <w:pPr>
        <w:spacing w:after="0"/>
        <w:ind w:left="1440"/>
        <w:jc w:val="left"/>
        <w:rPr>
          <w:rFonts w:ascii="Arial" w:hAnsi="Arial" w:cs="Arial"/>
          <w:sz w:val="24"/>
          <w:szCs w:val="24"/>
        </w:rPr>
      </w:pPr>
      <w:r w:rsidRPr="00240322">
        <w:rPr>
          <w:rFonts w:ascii="Arial" w:hAnsi="Arial" w:cs="Arial"/>
          <w:sz w:val="24"/>
          <w:szCs w:val="24"/>
        </w:rPr>
        <w:t xml:space="preserve">Provide </w:t>
      </w:r>
      <w:r w:rsidR="009324C9">
        <w:rPr>
          <w:rFonts w:ascii="Arial" w:hAnsi="Arial" w:cs="Arial"/>
          <w:sz w:val="24"/>
          <w:szCs w:val="24"/>
        </w:rPr>
        <w:t xml:space="preserve">tenant-based </w:t>
      </w:r>
      <w:r w:rsidRPr="00240322">
        <w:rPr>
          <w:rFonts w:ascii="Arial" w:hAnsi="Arial" w:cs="Arial"/>
          <w:sz w:val="24"/>
          <w:szCs w:val="24"/>
        </w:rPr>
        <w:t xml:space="preserve">rent assistance to prevent homelessness </w:t>
      </w:r>
      <w:r w:rsidR="009324C9">
        <w:rPr>
          <w:rFonts w:ascii="Arial" w:hAnsi="Arial" w:cs="Arial"/>
          <w:sz w:val="24"/>
          <w:szCs w:val="24"/>
        </w:rPr>
        <w:t>to</w:t>
      </w:r>
      <w:r w:rsidRPr="00240322">
        <w:rPr>
          <w:rFonts w:ascii="Arial" w:hAnsi="Arial" w:cs="Arial"/>
          <w:sz w:val="24"/>
          <w:szCs w:val="24"/>
        </w:rPr>
        <w:t xml:space="preserve"> </w:t>
      </w:r>
      <w:r w:rsidR="00496055">
        <w:rPr>
          <w:rFonts w:ascii="Arial" w:hAnsi="Arial" w:cs="Arial"/>
          <w:sz w:val="24"/>
          <w:szCs w:val="24"/>
        </w:rPr>
        <w:t>40</w:t>
      </w:r>
      <w:r w:rsidRPr="00240322">
        <w:rPr>
          <w:rFonts w:ascii="Arial" w:hAnsi="Arial" w:cs="Arial"/>
          <w:sz w:val="24"/>
          <w:szCs w:val="24"/>
        </w:rPr>
        <w:t xml:space="preserve"> very low</w:t>
      </w:r>
      <w:r w:rsidR="009324C9">
        <w:rPr>
          <w:rFonts w:ascii="Arial" w:hAnsi="Arial" w:cs="Arial"/>
          <w:sz w:val="24"/>
          <w:szCs w:val="24"/>
        </w:rPr>
        <w:t>-</w:t>
      </w:r>
      <w:r w:rsidRPr="00240322">
        <w:rPr>
          <w:rFonts w:ascii="Arial" w:hAnsi="Arial" w:cs="Arial"/>
          <w:sz w:val="24"/>
          <w:szCs w:val="24"/>
        </w:rPr>
        <w:t xml:space="preserve"> and low-income Gresham household</w:t>
      </w:r>
      <w:r w:rsidR="009324C9">
        <w:rPr>
          <w:rFonts w:ascii="Arial" w:hAnsi="Arial" w:cs="Arial"/>
          <w:sz w:val="24"/>
          <w:szCs w:val="24"/>
        </w:rPr>
        <w:t>s</w:t>
      </w:r>
      <w:r w:rsidRPr="00240322">
        <w:rPr>
          <w:rFonts w:ascii="Arial" w:hAnsi="Arial" w:cs="Arial"/>
          <w:sz w:val="24"/>
          <w:szCs w:val="24"/>
        </w:rPr>
        <w:t xml:space="preserve">. </w:t>
      </w:r>
      <w:r w:rsidR="000F68D4">
        <w:rPr>
          <w:rFonts w:ascii="Arial" w:hAnsi="Arial" w:cs="Arial"/>
          <w:sz w:val="24"/>
          <w:szCs w:val="24"/>
        </w:rPr>
        <w:t xml:space="preserve"> </w:t>
      </w:r>
      <w:r w:rsidR="009324C9">
        <w:rPr>
          <w:rFonts w:ascii="Arial" w:hAnsi="Arial" w:cs="Arial"/>
          <w:sz w:val="24"/>
          <w:szCs w:val="24"/>
        </w:rPr>
        <w:t>Individual</w:t>
      </w:r>
      <w:r w:rsidRPr="00240322">
        <w:rPr>
          <w:rFonts w:ascii="Arial" w:hAnsi="Arial" w:cs="Arial"/>
          <w:sz w:val="24"/>
          <w:szCs w:val="24"/>
        </w:rPr>
        <w:t>s, couples, families and seniors will be eligible</w:t>
      </w:r>
      <w:r w:rsidR="009324C9">
        <w:rPr>
          <w:rFonts w:ascii="Arial" w:hAnsi="Arial" w:cs="Arial"/>
          <w:sz w:val="24"/>
          <w:szCs w:val="24"/>
        </w:rPr>
        <w:t xml:space="preserve"> for this program</w:t>
      </w:r>
      <w:r w:rsidRPr="00240322">
        <w:rPr>
          <w:rFonts w:ascii="Arial" w:hAnsi="Arial" w:cs="Arial"/>
          <w:sz w:val="24"/>
          <w:szCs w:val="24"/>
        </w:rPr>
        <w:t>.  Each month names are drawn randomly and served after eligibility determination in the order their names are draws, without preference or discrimination.  Location:  Citywide.</w:t>
      </w:r>
    </w:p>
    <w:p w14:paraId="2A0D3218" w14:textId="5B7D353C" w:rsidR="00A52C42" w:rsidRDefault="00A52C42" w:rsidP="00954943">
      <w:pPr>
        <w:spacing w:after="0"/>
        <w:jc w:val="left"/>
        <w:rPr>
          <w:rFonts w:ascii="Arial" w:hAnsi="Arial" w:cs="Arial"/>
          <w:sz w:val="24"/>
          <w:szCs w:val="24"/>
        </w:rPr>
      </w:pPr>
    </w:p>
    <w:p w14:paraId="6D7020BA" w14:textId="49649AEE" w:rsidR="00A52C42" w:rsidRPr="00496055" w:rsidRDefault="00872B29" w:rsidP="00A52C42">
      <w:pPr>
        <w:spacing w:after="0"/>
        <w:ind w:left="720"/>
        <w:jc w:val="left"/>
        <w:rPr>
          <w:rFonts w:ascii="Arial" w:hAnsi="Arial" w:cs="Arial"/>
          <w:sz w:val="24"/>
          <w:szCs w:val="24"/>
        </w:rPr>
      </w:pPr>
      <w:r>
        <w:rPr>
          <w:rFonts w:ascii="Arial" w:hAnsi="Arial" w:cs="Arial"/>
          <w:sz w:val="24"/>
          <w:szCs w:val="24"/>
        </w:rPr>
        <w:t>B</w:t>
      </w:r>
      <w:r w:rsidR="00A52C42" w:rsidRPr="00496055">
        <w:rPr>
          <w:rFonts w:ascii="Arial" w:hAnsi="Arial" w:cs="Arial"/>
          <w:sz w:val="24"/>
          <w:szCs w:val="24"/>
        </w:rPr>
        <w:t>.</w:t>
      </w:r>
      <w:r w:rsidR="00A52C42" w:rsidRPr="00496055">
        <w:rPr>
          <w:rFonts w:ascii="Arial" w:hAnsi="Arial" w:cs="Arial"/>
          <w:sz w:val="24"/>
          <w:szCs w:val="24"/>
        </w:rPr>
        <w:tab/>
      </w:r>
      <w:r w:rsidR="00954943" w:rsidRPr="00496055">
        <w:rPr>
          <w:rFonts w:ascii="Arial" w:hAnsi="Arial" w:cs="Arial"/>
          <w:sz w:val="24"/>
          <w:szCs w:val="24"/>
          <w:u w:val="single"/>
        </w:rPr>
        <w:t>Homebuyer</w:t>
      </w:r>
      <w:r w:rsidR="00A52C42" w:rsidRPr="00496055">
        <w:rPr>
          <w:rFonts w:ascii="Arial" w:hAnsi="Arial" w:cs="Arial"/>
          <w:sz w:val="24"/>
          <w:szCs w:val="24"/>
          <w:u w:val="single"/>
        </w:rPr>
        <w:t xml:space="preserve"> Assistance</w:t>
      </w:r>
      <w:r w:rsidR="006F2776" w:rsidRPr="00496055">
        <w:rPr>
          <w:rFonts w:ascii="Arial" w:hAnsi="Arial" w:cs="Arial"/>
          <w:sz w:val="24"/>
          <w:szCs w:val="24"/>
          <w:u w:val="single"/>
        </w:rPr>
        <w:t xml:space="preserve">, </w:t>
      </w:r>
      <w:r w:rsidR="00A52C42" w:rsidRPr="00496055">
        <w:rPr>
          <w:rFonts w:ascii="Arial" w:hAnsi="Arial" w:cs="Arial"/>
          <w:sz w:val="24"/>
          <w:szCs w:val="24"/>
          <w:u w:val="single"/>
        </w:rPr>
        <w:t>Proud Ground ($</w:t>
      </w:r>
      <w:r w:rsidR="00F949A0">
        <w:rPr>
          <w:rFonts w:ascii="Arial" w:hAnsi="Arial" w:cs="Arial"/>
          <w:sz w:val="24"/>
          <w:szCs w:val="24"/>
          <w:u w:val="single"/>
        </w:rPr>
        <w:t>340</w:t>
      </w:r>
      <w:r w:rsidR="00AB2FD9" w:rsidRPr="00496055">
        <w:rPr>
          <w:rFonts w:ascii="Arial" w:hAnsi="Arial" w:cs="Arial"/>
          <w:sz w:val="24"/>
          <w:szCs w:val="24"/>
          <w:u w:val="single"/>
        </w:rPr>
        <w:t>,000</w:t>
      </w:r>
      <w:r w:rsidR="00A52C42" w:rsidRPr="00496055">
        <w:rPr>
          <w:rFonts w:ascii="Arial" w:hAnsi="Arial" w:cs="Arial"/>
          <w:sz w:val="24"/>
          <w:szCs w:val="24"/>
          <w:u w:val="single"/>
        </w:rPr>
        <w:t>)</w:t>
      </w:r>
    </w:p>
    <w:p w14:paraId="26942ABE" w14:textId="5D4141F4" w:rsidR="00872B29" w:rsidRDefault="00673CBC" w:rsidP="00872B29">
      <w:pPr>
        <w:widowControl w:val="0"/>
        <w:tabs>
          <w:tab w:val="left" w:pos="720"/>
          <w:tab w:val="left" w:pos="2160"/>
          <w:tab w:val="right" w:pos="7200"/>
        </w:tabs>
        <w:spacing w:after="0"/>
        <w:ind w:left="1440"/>
        <w:jc w:val="left"/>
        <w:rPr>
          <w:rFonts w:ascii="Arial" w:hAnsi="Arial" w:cs="Arial"/>
          <w:sz w:val="24"/>
          <w:szCs w:val="24"/>
        </w:rPr>
      </w:pPr>
      <w:r>
        <w:rPr>
          <w:rFonts w:ascii="Arial" w:hAnsi="Arial" w:cs="Arial"/>
          <w:sz w:val="24"/>
          <w:szCs w:val="24"/>
        </w:rPr>
        <w:t xml:space="preserve">Funds will provide home buyer assistance and activity delivery costs for </w:t>
      </w:r>
      <w:r w:rsidR="00C708E2">
        <w:rPr>
          <w:rFonts w:ascii="Arial" w:hAnsi="Arial" w:cs="Arial"/>
          <w:sz w:val="24"/>
          <w:szCs w:val="24"/>
        </w:rPr>
        <w:t>4</w:t>
      </w:r>
      <w:r>
        <w:rPr>
          <w:rFonts w:ascii="Arial" w:hAnsi="Arial" w:cs="Arial"/>
          <w:sz w:val="24"/>
          <w:szCs w:val="24"/>
        </w:rPr>
        <w:t xml:space="preserve"> Gresham</w:t>
      </w:r>
      <w:r w:rsidR="00441058">
        <w:rPr>
          <w:rFonts w:ascii="Arial" w:hAnsi="Arial" w:cs="Arial"/>
          <w:sz w:val="24"/>
          <w:szCs w:val="24"/>
        </w:rPr>
        <w:t xml:space="preserve"> first time </w:t>
      </w:r>
      <w:r>
        <w:rPr>
          <w:rFonts w:ascii="Arial" w:hAnsi="Arial" w:cs="Arial"/>
          <w:sz w:val="24"/>
          <w:szCs w:val="24"/>
        </w:rPr>
        <w:t>homebuyers</w:t>
      </w:r>
      <w:r w:rsidR="00441058">
        <w:rPr>
          <w:rFonts w:ascii="Arial" w:hAnsi="Arial" w:cs="Arial"/>
          <w:sz w:val="24"/>
          <w:szCs w:val="24"/>
        </w:rPr>
        <w:t>.  Proud Ground will use HOME funds to purchase the land and greatly reduce the cost of the home to the buyer, while the buyer purchases the home on the land.</w:t>
      </w:r>
    </w:p>
    <w:p w14:paraId="2B8C1232" w14:textId="77777777" w:rsidR="00872B29" w:rsidRDefault="00872B29" w:rsidP="00872B29">
      <w:pPr>
        <w:widowControl w:val="0"/>
        <w:tabs>
          <w:tab w:val="left" w:pos="720"/>
          <w:tab w:val="left" w:pos="2160"/>
          <w:tab w:val="right" w:pos="7200"/>
        </w:tabs>
        <w:spacing w:after="0"/>
        <w:ind w:left="1440"/>
        <w:jc w:val="left"/>
        <w:rPr>
          <w:rFonts w:ascii="Arial" w:hAnsi="Arial" w:cs="Arial"/>
          <w:sz w:val="24"/>
          <w:szCs w:val="24"/>
        </w:rPr>
      </w:pPr>
    </w:p>
    <w:p w14:paraId="60263EAD" w14:textId="77777777" w:rsidR="00716980" w:rsidRPr="00A52C42" w:rsidRDefault="00716980">
      <w:pPr>
        <w:widowControl w:val="0"/>
        <w:tabs>
          <w:tab w:val="left" w:pos="1440"/>
        </w:tabs>
        <w:spacing w:after="0"/>
        <w:ind w:left="1440"/>
        <w:jc w:val="left"/>
        <w:rPr>
          <w:rFonts w:ascii="Arial" w:hAnsi="Arial" w:cs="Arial"/>
          <w:sz w:val="24"/>
          <w:szCs w:val="24"/>
          <w:u w:val="single"/>
        </w:rPr>
      </w:pPr>
      <w:r w:rsidRPr="00386451">
        <w:rPr>
          <w:rFonts w:ascii="Arial" w:hAnsi="Arial" w:cs="Arial"/>
          <w:sz w:val="24"/>
          <w:szCs w:val="24"/>
        </w:rPr>
        <w:t xml:space="preserve">  </w:t>
      </w:r>
    </w:p>
    <w:p w14:paraId="363F6BEF" w14:textId="7AF0DA4A" w:rsidR="00554A93" w:rsidRPr="00A52C42" w:rsidRDefault="00872B29" w:rsidP="00A52C42">
      <w:pPr>
        <w:widowControl w:val="0"/>
        <w:tabs>
          <w:tab w:val="left" w:pos="720"/>
          <w:tab w:val="left" w:pos="2160"/>
          <w:tab w:val="right" w:pos="7200"/>
        </w:tabs>
        <w:spacing w:after="0"/>
        <w:ind w:left="1440" w:hanging="720"/>
        <w:jc w:val="left"/>
        <w:rPr>
          <w:rFonts w:ascii="Arial" w:hAnsi="Arial" w:cs="Arial"/>
          <w:sz w:val="24"/>
          <w:szCs w:val="24"/>
        </w:rPr>
      </w:pPr>
      <w:r>
        <w:rPr>
          <w:rFonts w:ascii="Arial" w:hAnsi="Arial" w:cs="Arial"/>
          <w:sz w:val="24"/>
          <w:szCs w:val="24"/>
        </w:rPr>
        <w:lastRenderedPageBreak/>
        <w:t>C</w:t>
      </w:r>
      <w:r w:rsidR="00A52C42" w:rsidRPr="00A52C42">
        <w:rPr>
          <w:rFonts w:ascii="Arial" w:hAnsi="Arial" w:cs="Arial"/>
          <w:sz w:val="24"/>
          <w:szCs w:val="24"/>
        </w:rPr>
        <w:t>.</w:t>
      </w:r>
      <w:r w:rsidR="00A52C42">
        <w:rPr>
          <w:rFonts w:ascii="Arial" w:hAnsi="Arial" w:cs="Arial"/>
          <w:sz w:val="24"/>
          <w:szCs w:val="24"/>
        </w:rPr>
        <w:tab/>
      </w:r>
      <w:r w:rsidR="00554A93" w:rsidRPr="006F2776">
        <w:rPr>
          <w:rFonts w:ascii="Arial" w:hAnsi="Arial" w:cs="Arial"/>
          <w:sz w:val="24"/>
          <w:szCs w:val="24"/>
          <w:u w:val="single"/>
        </w:rPr>
        <w:t xml:space="preserve">Shared Appreciation Mortgage (SAM) Program – </w:t>
      </w:r>
      <w:r w:rsidR="00A64395" w:rsidRPr="00AB2FD9">
        <w:rPr>
          <w:rFonts w:ascii="Arial" w:hAnsi="Arial" w:cs="Arial"/>
          <w:sz w:val="24"/>
          <w:szCs w:val="24"/>
          <w:u w:val="single"/>
        </w:rPr>
        <w:t>($</w:t>
      </w:r>
      <w:r w:rsidR="00F949A0">
        <w:rPr>
          <w:rFonts w:ascii="Arial" w:hAnsi="Arial" w:cs="Arial"/>
          <w:sz w:val="24"/>
          <w:szCs w:val="24"/>
          <w:u w:val="single"/>
        </w:rPr>
        <w:t>353,5</w:t>
      </w:r>
      <w:r w:rsidR="009324C9">
        <w:rPr>
          <w:rFonts w:ascii="Arial" w:hAnsi="Arial" w:cs="Arial"/>
          <w:sz w:val="24"/>
          <w:szCs w:val="24"/>
          <w:u w:val="single"/>
        </w:rPr>
        <w:t>29</w:t>
      </w:r>
      <w:r w:rsidR="00A64395" w:rsidRPr="00AB2FD9">
        <w:rPr>
          <w:rFonts w:ascii="Arial" w:hAnsi="Arial" w:cs="Arial"/>
          <w:sz w:val="24"/>
          <w:szCs w:val="24"/>
          <w:u w:val="single"/>
        </w:rPr>
        <w:t>)</w:t>
      </w:r>
    </w:p>
    <w:p w14:paraId="3A1C77AE" w14:textId="159FA86C" w:rsidR="00554A93" w:rsidRPr="00240322" w:rsidRDefault="00554A93" w:rsidP="00673CBC">
      <w:pPr>
        <w:tabs>
          <w:tab w:val="left" w:pos="720"/>
          <w:tab w:val="left" w:pos="2160"/>
          <w:tab w:val="right" w:pos="7200"/>
        </w:tabs>
        <w:spacing w:after="0"/>
        <w:ind w:left="1440"/>
        <w:jc w:val="left"/>
        <w:rPr>
          <w:rFonts w:ascii="Arial" w:hAnsi="Arial" w:cs="Arial"/>
          <w:sz w:val="24"/>
          <w:szCs w:val="24"/>
        </w:rPr>
      </w:pPr>
      <w:r w:rsidRPr="00240322">
        <w:rPr>
          <w:rFonts w:ascii="Arial" w:hAnsi="Arial" w:cs="Arial"/>
          <w:sz w:val="24"/>
          <w:szCs w:val="24"/>
        </w:rPr>
        <w:t xml:space="preserve">Funds to provide home buyer assistance </w:t>
      </w:r>
      <w:r w:rsidR="00BA3802">
        <w:rPr>
          <w:rFonts w:ascii="Arial" w:hAnsi="Arial" w:cs="Arial"/>
          <w:sz w:val="24"/>
          <w:szCs w:val="24"/>
        </w:rPr>
        <w:t>and activity delivery costs for</w:t>
      </w:r>
      <w:r w:rsidRPr="00240322">
        <w:rPr>
          <w:rFonts w:ascii="Arial" w:hAnsi="Arial" w:cs="Arial"/>
          <w:sz w:val="24"/>
          <w:szCs w:val="24"/>
        </w:rPr>
        <w:t xml:space="preserve"> </w:t>
      </w:r>
      <w:r w:rsidR="002C36E0">
        <w:rPr>
          <w:rFonts w:ascii="Arial" w:hAnsi="Arial" w:cs="Arial"/>
          <w:sz w:val="24"/>
          <w:szCs w:val="24"/>
        </w:rPr>
        <w:t>up to 1</w:t>
      </w:r>
      <w:r w:rsidR="00C708E2">
        <w:rPr>
          <w:rFonts w:ascii="Arial" w:hAnsi="Arial" w:cs="Arial"/>
          <w:sz w:val="24"/>
          <w:szCs w:val="24"/>
        </w:rPr>
        <w:t>6</w:t>
      </w:r>
      <w:r w:rsidR="002C36E0">
        <w:rPr>
          <w:rFonts w:ascii="Arial" w:hAnsi="Arial" w:cs="Arial"/>
          <w:sz w:val="24"/>
          <w:szCs w:val="24"/>
        </w:rPr>
        <w:t xml:space="preserve"> </w:t>
      </w:r>
      <w:r w:rsidRPr="00240322">
        <w:rPr>
          <w:rFonts w:ascii="Arial" w:hAnsi="Arial" w:cs="Arial"/>
          <w:sz w:val="24"/>
          <w:szCs w:val="24"/>
        </w:rPr>
        <w:t xml:space="preserve">low-income homebuyers in accordance with Gresham’s WELCOME HOME program. Location: Citywide </w:t>
      </w:r>
    </w:p>
    <w:p w14:paraId="2DB1DF98" w14:textId="77777777" w:rsidR="00386451" w:rsidRPr="00240322" w:rsidRDefault="00386451" w:rsidP="00386451">
      <w:pPr>
        <w:tabs>
          <w:tab w:val="left" w:pos="720"/>
        </w:tabs>
        <w:spacing w:after="0"/>
        <w:ind w:left="1440" w:right="-187"/>
        <w:jc w:val="left"/>
        <w:rPr>
          <w:rFonts w:ascii="Arial" w:hAnsi="Arial" w:cs="Arial"/>
          <w:sz w:val="24"/>
          <w:szCs w:val="24"/>
        </w:rPr>
      </w:pPr>
    </w:p>
    <w:p w14:paraId="1BDB8B55" w14:textId="018D2218" w:rsidR="007B6CA8" w:rsidRPr="00496055" w:rsidRDefault="00872B29" w:rsidP="0043271F">
      <w:pPr>
        <w:widowControl w:val="0"/>
        <w:spacing w:after="0"/>
        <w:ind w:left="720"/>
        <w:jc w:val="left"/>
        <w:rPr>
          <w:rFonts w:ascii="Arial" w:hAnsi="Arial" w:cs="Arial"/>
          <w:sz w:val="24"/>
          <w:szCs w:val="24"/>
        </w:rPr>
      </w:pPr>
      <w:r>
        <w:rPr>
          <w:rFonts w:ascii="Arial" w:hAnsi="Arial" w:cs="Arial"/>
          <w:sz w:val="24"/>
          <w:szCs w:val="24"/>
        </w:rPr>
        <w:t>D</w:t>
      </w:r>
      <w:r w:rsidR="0043271F" w:rsidRPr="0043271F">
        <w:rPr>
          <w:rFonts w:ascii="Arial" w:hAnsi="Arial" w:cs="Arial"/>
          <w:sz w:val="24"/>
          <w:szCs w:val="24"/>
        </w:rPr>
        <w:t>.</w:t>
      </w:r>
      <w:r w:rsidR="0043271F" w:rsidRPr="0043271F">
        <w:rPr>
          <w:rFonts w:ascii="Arial" w:hAnsi="Arial" w:cs="Arial"/>
          <w:sz w:val="24"/>
          <w:szCs w:val="24"/>
        </w:rPr>
        <w:tab/>
      </w:r>
      <w:r w:rsidR="007B6CA8" w:rsidRPr="00496055">
        <w:rPr>
          <w:rFonts w:ascii="Arial" w:hAnsi="Arial" w:cs="Arial"/>
          <w:sz w:val="24"/>
          <w:szCs w:val="24"/>
          <w:u w:val="single"/>
        </w:rPr>
        <w:t>Program Administration ($</w:t>
      </w:r>
      <w:r w:rsidR="00AB2FD9" w:rsidRPr="00496055">
        <w:rPr>
          <w:rFonts w:ascii="Arial" w:hAnsi="Arial" w:cs="Arial"/>
          <w:sz w:val="24"/>
          <w:szCs w:val="24"/>
          <w:u w:val="single"/>
        </w:rPr>
        <w:t>41,868</w:t>
      </w:r>
      <w:r w:rsidR="007B6CA8" w:rsidRPr="00496055">
        <w:rPr>
          <w:rFonts w:ascii="Arial" w:hAnsi="Arial" w:cs="Arial"/>
          <w:sz w:val="24"/>
          <w:szCs w:val="24"/>
          <w:u w:val="single"/>
        </w:rPr>
        <w:t>)</w:t>
      </w:r>
      <w:r w:rsidR="007B6CA8" w:rsidRPr="00496055">
        <w:rPr>
          <w:rFonts w:ascii="Arial" w:hAnsi="Arial" w:cs="Arial"/>
          <w:sz w:val="24"/>
          <w:szCs w:val="24"/>
        </w:rPr>
        <w:t xml:space="preserve">  </w:t>
      </w:r>
    </w:p>
    <w:p w14:paraId="434510EC" w14:textId="75C31297" w:rsidR="00673CBC" w:rsidRDefault="007B6CA8" w:rsidP="00496055">
      <w:pPr>
        <w:widowControl w:val="0"/>
        <w:tabs>
          <w:tab w:val="left" w:pos="1440"/>
        </w:tabs>
        <w:spacing w:after="0"/>
        <w:ind w:left="1440"/>
        <w:jc w:val="left"/>
        <w:rPr>
          <w:rFonts w:ascii="Arial" w:hAnsi="Arial" w:cs="Arial"/>
          <w:sz w:val="24"/>
          <w:szCs w:val="24"/>
        </w:rPr>
      </w:pPr>
      <w:r w:rsidRPr="00496055">
        <w:rPr>
          <w:rFonts w:ascii="Arial" w:hAnsi="Arial" w:cs="Arial"/>
          <w:sz w:val="24"/>
          <w:szCs w:val="24"/>
        </w:rPr>
        <w:t>Administration of program Staff and operating costs of the City of Gresham in administering the above projects and its HOME administrative responsibilities with $</w:t>
      </w:r>
      <w:r w:rsidR="00AB2FD9" w:rsidRPr="00496055">
        <w:rPr>
          <w:rFonts w:ascii="Arial" w:hAnsi="Arial" w:cs="Arial"/>
          <w:sz w:val="24"/>
          <w:szCs w:val="24"/>
        </w:rPr>
        <w:t>41,868</w:t>
      </w:r>
      <w:r w:rsidRPr="00496055">
        <w:rPr>
          <w:rFonts w:ascii="Arial" w:hAnsi="Arial" w:cs="Arial"/>
          <w:sz w:val="24"/>
          <w:szCs w:val="24"/>
        </w:rPr>
        <w:t xml:space="preserve"> for FY 20</w:t>
      </w:r>
      <w:r w:rsidR="00C12BB1" w:rsidRPr="00496055">
        <w:rPr>
          <w:rFonts w:ascii="Arial" w:hAnsi="Arial" w:cs="Arial"/>
          <w:sz w:val="24"/>
          <w:szCs w:val="24"/>
        </w:rPr>
        <w:t>2</w:t>
      </w:r>
      <w:r w:rsidR="008C548C" w:rsidRPr="00496055">
        <w:rPr>
          <w:rFonts w:ascii="Arial" w:hAnsi="Arial" w:cs="Arial"/>
          <w:sz w:val="24"/>
          <w:szCs w:val="24"/>
        </w:rPr>
        <w:t>1</w:t>
      </w:r>
      <w:r w:rsidRPr="00496055">
        <w:rPr>
          <w:rFonts w:ascii="Arial" w:hAnsi="Arial" w:cs="Arial"/>
          <w:sz w:val="24"/>
          <w:szCs w:val="24"/>
        </w:rPr>
        <w:t>-20</w:t>
      </w:r>
      <w:r w:rsidR="00F82A63" w:rsidRPr="00496055">
        <w:rPr>
          <w:rFonts w:ascii="Arial" w:hAnsi="Arial" w:cs="Arial"/>
          <w:sz w:val="24"/>
          <w:szCs w:val="24"/>
        </w:rPr>
        <w:t>2</w:t>
      </w:r>
      <w:r w:rsidR="008C548C" w:rsidRPr="00496055">
        <w:rPr>
          <w:rFonts w:ascii="Arial" w:hAnsi="Arial" w:cs="Arial"/>
          <w:sz w:val="24"/>
          <w:szCs w:val="24"/>
        </w:rPr>
        <w:t>2</w:t>
      </w:r>
      <w:r w:rsidRPr="00496055">
        <w:rPr>
          <w:rFonts w:ascii="Arial" w:hAnsi="Arial" w:cs="Arial"/>
          <w:sz w:val="24"/>
          <w:szCs w:val="24"/>
        </w:rPr>
        <w:t xml:space="preserve"> and $</w:t>
      </w:r>
      <w:r w:rsidR="00496055" w:rsidRPr="00496055">
        <w:rPr>
          <w:rFonts w:ascii="Arial" w:hAnsi="Arial" w:cs="Arial"/>
          <w:sz w:val="24"/>
          <w:szCs w:val="24"/>
        </w:rPr>
        <w:t xml:space="preserve">0 </w:t>
      </w:r>
      <w:r w:rsidRPr="00496055">
        <w:rPr>
          <w:rFonts w:ascii="Arial" w:hAnsi="Arial" w:cs="Arial"/>
          <w:sz w:val="24"/>
          <w:szCs w:val="24"/>
        </w:rPr>
        <w:t>as carryover from FY 20</w:t>
      </w:r>
      <w:r w:rsidR="008C548C" w:rsidRPr="00496055">
        <w:rPr>
          <w:rFonts w:ascii="Arial" w:hAnsi="Arial" w:cs="Arial"/>
          <w:sz w:val="24"/>
          <w:szCs w:val="24"/>
        </w:rPr>
        <w:t>20</w:t>
      </w:r>
      <w:r w:rsidRPr="00496055">
        <w:rPr>
          <w:rFonts w:ascii="Arial" w:hAnsi="Arial" w:cs="Arial"/>
          <w:sz w:val="24"/>
          <w:szCs w:val="24"/>
        </w:rPr>
        <w:t>-20</w:t>
      </w:r>
      <w:r w:rsidR="00BA3802" w:rsidRPr="00496055">
        <w:rPr>
          <w:rFonts w:ascii="Arial" w:hAnsi="Arial" w:cs="Arial"/>
          <w:sz w:val="24"/>
          <w:szCs w:val="24"/>
        </w:rPr>
        <w:t>2</w:t>
      </w:r>
      <w:r w:rsidR="008C548C" w:rsidRPr="00496055">
        <w:rPr>
          <w:rFonts w:ascii="Arial" w:hAnsi="Arial" w:cs="Arial"/>
          <w:sz w:val="24"/>
          <w:szCs w:val="24"/>
        </w:rPr>
        <w:t>1</w:t>
      </w:r>
      <w:r w:rsidRPr="00496055">
        <w:rPr>
          <w:rFonts w:ascii="Arial" w:hAnsi="Arial" w:cs="Arial"/>
          <w:sz w:val="24"/>
          <w:szCs w:val="24"/>
        </w:rPr>
        <w:t>.</w:t>
      </w:r>
      <w:r w:rsidRPr="00386451">
        <w:rPr>
          <w:rFonts w:ascii="Arial" w:hAnsi="Arial" w:cs="Arial"/>
          <w:sz w:val="24"/>
          <w:szCs w:val="24"/>
        </w:rPr>
        <w:t xml:space="preserve">  </w:t>
      </w:r>
    </w:p>
    <w:p w14:paraId="4E867901" w14:textId="77777777" w:rsidR="00673CBC" w:rsidRDefault="00673CBC" w:rsidP="00673CBC">
      <w:pPr>
        <w:widowControl w:val="0"/>
        <w:tabs>
          <w:tab w:val="left" w:pos="1440"/>
        </w:tabs>
        <w:spacing w:after="0"/>
        <w:jc w:val="left"/>
        <w:rPr>
          <w:rFonts w:ascii="Arial" w:hAnsi="Arial" w:cs="Arial"/>
          <w:sz w:val="24"/>
          <w:szCs w:val="24"/>
        </w:rPr>
      </w:pPr>
    </w:p>
    <w:p w14:paraId="501D40A2" w14:textId="23B8B7C3" w:rsidR="004D1C89" w:rsidRDefault="00872B29" w:rsidP="0043271F">
      <w:pPr>
        <w:widowControl w:val="0"/>
        <w:tabs>
          <w:tab w:val="left" w:pos="1440"/>
        </w:tabs>
        <w:spacing w:after="0"/>
        <w:ind w:left="1440" w:hanging="720"/>
        <w:jc w:val="left"/>
        <w:rPr>
          <w:rFonts w:ascii="Arial" w:hAnsi="Arial" w:cs="Arial"/>
          <w:sz w:val="24"/>
          <w:szCs w:val="24"/>
          <w:u w:val="single"/>
        </w:rPr>
      </w:pPr>
      <w:r>
        <w:rPr>
          <w:rFonts w:ascii="Arial" w:hAnsi="Arial" w:cs="Arial"/>
          <w:sz w:val="24"/>
          <w:szCs w:val="24"/>
        </w:rPr>
        <w:t>E</w:t>
      </w:r>
      <w:r w:rsidR="0043271F" w:rsidRPr="0043271F">
        <w:rPr>
          <w:rFonts w:ascii="Arial" w:hAnsi="Arial" w:cs="Arial"/>
          <w:sz w:val="24"/>
          <w:szCs w:val="24"/>
        </w:rPr>
        <w:t>.</w:t>
      </w:r>
      <w:r w:rsidR="0043271F" w:rsidRPr="0043271F">
        <w:rPr>
          <w:rFonts w:ascii="Arial" w:hAnsi="Arial" w:cs="Arial"/>
          <w:sz w:val="24"/>
          <w:szCs w:val="24"/>
        </w:rPr>
        <w:tab/>
      </w:r>
      <w:r w:rsidR="00A6769F" w:rsidRPr="00386451">
        <w:rPr>
          <w:rFonts w:ascii="Arial" w:hAnsi="Arial" w:cs="Arial"/>
          <w:sz w:val="24"/>
          <w:szCs w:val="24"/>
          <w:u w:val="single"/>
        </w:rPr>
        <w:t>Scope of Services to be carried out by the City of Portland</w:t>
      </w:r>
      <w:r w:rsidR="00386451">
        <w:rPr>
          <w:rFonts w:ascii="Arial" w:hAnsi="Arial" w:cs="Arial"/>
          <w:sz w:val="24"/>
          <w:szCs w:val="24"/>
          <w:u w:val="single"/>
        </w:rPr>
        <w:t>.</w:t>
      </w:r>
    </w:p>
    <w:p w14:paraId="25A0C4FB" w14:textId="0CCC3E72" w:rsidR="00A6769F" w:rsidRPr="00386451" w:rsidRDefault="004D1C89" w:rsidP="0043271F">
      <w:pPr>
        <w:widowControl w:val="0"/>
        <w:tabs>
          <w:tab w:val="left" w:pos="1440"/>
        </w:tabs>
        <w:spacing w:after="0"/>
        <w:ind w:left="1440" w:hanging="720"/>
        <w:jc w:val="left"/>
        <w:rPr>
          <w:rFonts w:ascii="Arial" w:hAnsi="Arial" w:cs="Arial"/>
          <w:sz w:val="24"/>
          <w:szCs w:val="24"/>
        </w:rPr>
      </w:pPr>
      <w:r>
        <w:rPr>
          <w:rFonts w:ascii="Arial" w:hAnsi="Arial" w:cs="Arial"/>
          <w:sz w:val="24"/>
          <w:szCs w:val="24"/>
        </w:rPr>
        <w:tab/>
      </w:r>
      <w:r w:rsidR="00A6769F" w:rsidRPr="00386451">
        <w:rPr>
          <w:rFonts w:ascii="Arial" w:hAnsi="Arial" w:cs="Arial"/>
          <w:sz w:val="24"/>
          <w:szCs w:val="24"/>
        </w:rPr>
        <w:t>The City of Portland will conduct HOME eligible projects in accordance with the approved HOME Program Description and Budget Exhibit A, as follows:</w:t>
      </w:r>
    </w:p>
    <w:p w14:paraId="23B1A82D" w14:textId="77777777" w:rsidR="00A6769F" w:rsidRPr="00240322" w:rsidRDefault="00A6769F" w:rsidP="00386451">
      <w:pPr>
        <w:pStyle w:val="BodyTextIndent2"/>
        <w:tabs>
          <w:tab w:val="clear" w:pos="2880"/>
          <w:tab w:val="clear" w:pos="3600"/>
          <w:tab w:val="clear" w:pos="4320"/>
          <w:tab w:val="clear" w:pos="5040"/>
        </w:tabs>
        <w:ind w:left="0"/>
        <w:rPr>
          <w:rFonts w:ascii="Arial" w:hAnsi="Arial" w:cs="Arial"/>
          <w:szCs w:val="24"/>
        </w:rPr>
      </w:pPr>
    </w:p>
    <w:p w14:paraId="718D9BC3" w14:textId="77F223BB" w:rsidR="00A6769F" w:rsidRPr="006A01D9" w:rsidRDefault="0043271F" w:rsidP="0043271F">
      <w:pPr>
        <w:pStyle w:val="ListParagraph"/>
        <w:tabs>
          <w:tab w:val="left" w:pos="720"/>
          <w:tab w:val="left" w:pos="1800"/>
          <w:tab w:val="left" w:pos="2160"/>
          <w:tab w:val="right" w:pos="7200"/>
        </w:tabs>
        <w:ind w:left="1440"/>
        <w:jc w:val="both"/>
        <w:rPr>
          <w:rFonts w:ascii="Arial" w:hAnsi="Arial" w:cs="Arial"/>
          <w:szCs w:val="24"/>
        </w:rPr>
      </w:pPr>
      <w:r>
        <w:rPr>
          <w:rFonts w:ascii="Arial" w:hAnsi="Arial" w:cs="Arial"/>
          <w:szCs w:val="24"/>
        </w:rPr>
        <w:t>a.</w:t>
      </w:r>
      <w:r>
        <w:rPr>
          <w:rFonts w:ascii="Arial" w:hAnsi="Arial" w:cs="Arial"/>
          <w:szCs w:val="24"/>
        </w:rPr>
        <w:tab/>
      </w:r>
      <w:r w:rsidR="00A6769F" w:rsidRPr="006A01D9">
        <w:rPr>
          <w:rFonts w:ascii="Arial" w:hAnsi="Arial" w:cs="Arial"/>
          <w:szCs w:val="24"/>
          <w:u w:val="single"/>
        </w:rPr>
        <w:t xml:space="preserve">Portland HOME Consortium Administration </w:t>
      </w:r>
      <w:r w:rsidR="00A6769F" w:rsidRPr="00496055">
        <w:rPr>
          <w:rFonts w:ascii="Arial" w:hAnsi="Arial" w:cs="Arial"/>
          <w:szCs w:val="24"/>
          <w:u w:val="single"/>
        </w:rPr>
        <w:t>($</w:t>
      </w:r>
      <w:r w:rsidR="00BA3802" w:rsidRPr="00496055">
        <w:rPr>
          <w:rFonts w:ascii="Arial" w:hAnsi="Arial" w:cs="Arial"/>
          <w:szCs w:val="24"/>
          <w:u w:val="single"/>
        </w:rPr>
        <w:t>3</w:t>
      </w:r>
      <w:r w:rsidR="00AB2FD9" w:rsidRPr="00496055">
        <w:rPr>
          <w:rFonts w:ascii="Arial" w:hAnsi="Arial" w:cs="Arial"/>
          <w:szCs w:val="24"/>
          <w:u w:val="single"/>
        </w:rPr>
        <w:t>4,255</w:t>
      </w:r>
      <w:r w:rsidR="00A6769F" w:rsidRPr="006E3C20">
        <w:rPr>
          <w:rFonts w:ascii="Arial" w:hAnsi="Arial" w:cs="Arial"/>
          <w:szCs w:val="24"/>
          <w:u w:val="single"/>
        </w:rPr>
        <w:t>)</w:t>
      </w:r>
    </w:p>
    <w:p w14:paraId="609D8ABD" w14:textId="77777777" w:rsidR="00A6769F" w:rsidRDefault="00A6769F" w:rsidP="0043271F">
      <w:pPr>
        <w:tabs>
          <w:tab w:val="left" w:pos="-2520"/>
          <w:tab w:val="right" w:pos="7200"/>
        </w:tabs>
        <w:spacing w:after="0"/>
        <w:ind w:left="1800"/>
        <w:jc w:val="left"/>
        <w:rPr>
          <w:rFonts w:ascii="Arial" w:hAnsi="Arial" w:cs="Arial"/>
          <w:sz w:val="24"/>
          <w:szCs w:val="24"/>
        </w:rPr>
      </w:pPr>
      <w:r w:rsidRPr="00240322">
        <w:rPr>
          <w:rFonts w:ascii="Arial" w:hAnsi="Arial" w:cs="Arial"/>
          <w:sz w:val="24"/>
          <w:szCs w:val="24"/>
        </w:rPr>
        <w:t>Gresham will pay the City of Portland to carry out overall Consortium responsibility, for ensuring that the Consortium’s HOME Program is carried out in compliance with the requirements of the HOME Program, including requirements for the Consolidated Plan in accordance with HUD regulations in 24 CFR Part 92 and 91, respectively.</w:t>
      </w:r>
    </w:p>
    <w:p w14:paraId="76973B30" w14:textId="201038B5" w:rsidR="00A6769F" w:rsidRPr="006A01D9" w:rsidRDefault="006A01D9" w:rsidP="0043271F">
      <w:pPr>
        <w:tabs>
          <w:tab w:val="left" w:pos="-2520"/>
          <w:tab w:val="right" w:pos="7200"/>
        </w:tabs>
        <w:spacing w:after="0"/>
        <w:jc w:val="left"/>
        <w:rPr>
          <w:rFonts w:ascii="Arial" w:hAnsi="Arial" w:cs="Arial"/>
          <w:sz w:val="24"/>
          <w:szCs w:val="24"/>
        </w:rPr>
      </w:pPr>
      <w:r>
        <w:rPr>
          <w:rFonts w:ascii="Arial" w:hAnsi="Arial" w:cs="Arial"/>
          <w:sz w:val="24"/>
          <w:szCs w:val="24"/>
        </w:rPr>
        <w:t xml:space="preserve">      </w:t>
      </w:r>
    </w:p>
    <w:p w14:paraId="4A389D6D" w14:textId="77777777" w:rsidR="004D1C89" w:rsidRDefault="00386451" w:rsidP="00386451">
      <w:pPr>
        <w:pStyle w:val="ListParagraph"/>
        <w:numPr>
          <w:ilvl w:val="0"/>
          <w:numId w:val="8"/>
        </w:numPr>
        <w:tabs>
          <w:tab w:val="left" w:pos="720"/>
          <w:tab w:val="right" w:pos="7200"/>
        </w:tabs>
        <w:spacing w:after="120"/>
        <w:rPr>
          <w:rFonts w:ascii="Arial" w:hAnsi="Arial" w:cs="Arial"/>
          <w:szCs w:val="24"/>
          <w:u w:val="single"/>
        </w:rPr>
      </w:pPr>
      <w:r>
        <w:rPr>
          <w:rFonts w:ascii="Arial" w:hAnsi="Arial" w:cs="Arial"/>
          <w:szCs w:val="24"/>
          <w:u w:val="single"/>
        </w:rPr>
        <w:t>Specific Provisions</w:t>
      </w:r>
    </w:p>
    <w:p w14:paraId="22C689CA" w14:textId="27D24F4A" w:rsidR="00A6769F" w:rsidRPr="00386451" w:rsidRDefault="00A6769F" w:rsidP="004D1C89">
      <w:pPr>
        <w:pStyle w:val="ListParagraph"/>
        <w:tabs>
          <w:tab w:val="left" w:pos="720"/>
          <w:tab w:val="right" w:pos="7200"/>
        </w:tabs>
        <w:spacing w:after="120"/>
        <w:rPr>
          <w:rFonts w:ascii="Arial" w:hAnsi="Arial" w:cs="Arial"/>
          <w:szCs w:val="24"/>
          <w:u w:val="single"/>
        </w:rPr>
      </w:pPr>
      <w:r w:rsidRPr="00386451">
        <w:rPr>
          <w:rFonts w:ascii="Arial" w:hAnsi="Arial" w:cs="Arial"/>
          <w:szCs w:val="24"/>
        </w:rPr>
        <w:t>Activities may be carried out by Gresham or project sponsors as appropriate and eligible under the HOME Program regulations contained in 24 CFR Part 92.</w:t>
      </w:r>
    </w:p>
    <w:p w14:paraId="35A0CCD8" w14:textId="77777777" w:rsidR="00A6769F" w:rsidRPr="00240322" w:rsidRDefault="00A6769F" w:rsidP="00A6769F">
      <w:pPr>
        <w:widowControl w:val="0"/>
        <w:numPr>
          <w:ilvl w:val="0"/>
          <w:numId w:val="9"/>
        </w:numPr>
        <w:tabs>
          <w:tab w:val="clear" w:pos="1800"/>
          <w:tab w:val="left" w:pos="1440"/>
          <w:tab w:val="right" w:pos="7200"/>
        </w:tabs>
        <w:spacing w:after="0"/>
        <w:ind w:left="1440" w:hanging="720"/>
        <w:jc w:val="left"/>
        <w:rPr>
          <w:rFonts w:ascii="Arial" w:hAnsi="Arial" w:cs="Arial"/>
          <w:sz w:val="24"/>
          <w:szCs w:val="24"/>
        </w:rPr>
      </w:pPr>
      <w:r w:rsidRPr="00240322">
        <w:rPr>
          <w:rFonts w:ascii="Arial" w:hAnsi="Arial" w:cs="Arial"/>
          <w:sz w:val="24"/>
          <w:szCs w:val="24"/>
        </w:rPr>
        <w:t>Any proposed changes to the project activities must be approved by written amendment of this IGA.  Changes may necessitate amendment of the approved Program Description and/or HUD review and approval.  Gresham shall be responsible for preparing necessary documentation, justifications or materials to substantiate such changes and providing it to the City which will file or transmit such documents to HUD as appropriate.  If HUD approval is required, changes to this IGA will not take effect until such approval is received.</w:t>
      </w:r>
    </w:p>
    <w:p w14:paraId="74DF58BA" w14:textId="77777777" w:rsidR="00114301" w:rsidRDefault="00114301" w:rsidP="00114301">
      <w:pPr>
        <w:widowControl w:val="0"/>
        <w:tabs>
          <w:tab w:val="left" w:pos="1440"/>
          <w:tab w:val="right" w:pos="7200"/>
        </w:tabs>
        <w:spacing w:after="0"/>
        <w:ind w:left="1440"/>
        <w:jc w:val="left"/>
        <w:rPr>
          <w:rFonts w:ascii="Arial" w:hAnsi="Arial" w:cs="Arial"/>
          <w:sz w:val="24"/>
          <w:szCs w:val="24"/>
        </w:rPr>
      </w:pPr>
    </w:p>
    <w:p w14:paraId="375BC4BE" w14:textId="77777777" w:rsidR="00A6769F" w:rsidRPr="00240322" w:rsidRDefault="00A6769F" w:rsidP="00A6769F">
      <w:pPr>
        <w:widowControl w:val="0"/>
        <w:numPr>
          <w:ilvl w:val="0"/>
          <w:numId w:val="9"/>
        </w:numPr>
        <w:tabs>
          <w:tab w:val="clear" w:pos="1800"/>
          <w:tab w:val="left" w:pos="1440"/>
          <w:tab w:val="right" w:pos="7200"/>
        </w:tabs>
        <w:spacing w:after="0"/>
        <w:ind w:left="1440" w:hanging="720"/>
        <w:jc w:val="left"/>
        <w:rPr>
          <w:rFonts w:ascii="Arial" w:hAnsi="Arial" w:cs="Arial"/>
          <w:sz w:val="24"/>
          <w:szCs w:val="24"/>
        </w:rPr>
      </w:pPr>
      <w:r w:rsidRPr="00240322">
        <w:rPr>
          <w:rFonts w:ascii="Arial" w:hAnsi="Arial" w:cs="Arial"/>
          <w:sz w:val="24"/>
          <w:szCs w:val="24"/>
        </w:rPr>
        <w:t>Under the terms of the HOME Consortium Agreement (Gresham Agreement #</w:t>
      </w:r>
      <w:r w:rsidRPr="00831F3E">
        <w:rPr>
          <w:rFonts w:ascii="Arial" w:hAnsi="Arial" w:cs="Arial"/>
          <w:sz w:val="24"/>
          <w:szCs w:val="24"/>
        </w:rPr>
        <w:t>6462</w:t>
      </w:r>
      <w:r w:rsidRPr="00240322">
        <w:rPr>
          <w:rFonts w:ascii="Arial" w:hAnsi="Arial" w:cs="Arial"/>
          <w:sz w:val="24"/>
          <w:szCs w:val="24"/>
        </w:rPr>
        <w:t>) the City of Portland retains the authority to amend this IGA for failure of Gresham in performing this IGA to meet any of the obligations imposed on it as a member of the HOME Consortium.</w:t>
      </w:r>
    </w:p>
    <w:p w14:paraId="56977986" w14:textId="77777777" w:rsidR="00114301" w:rsidRDefault="00114301" w:rsidP="00114301">
      <w:pPr>
        <w:widowControl w:val="0"/>
        <w:tabs>
          <w:tab w:val="left" w:pos="1440"/>
          <w:tab w:val="right" w:pos="7200"/>
        </w:tabs>
        <w:spacing w:after="0"/>
        <w:ind w:left="1440"/>
        <w:jc w:val="left"/>
        <w:rPr>
          <w:rFonts w:ascii="Arial" w:hAnsi="Arial" w:cs="Arial"/>
          <w:sz w:val="24"/>
          <w:szCs w:val="24"/>
        </w:rPr>
      </w:pPr>
    </w:p>
    <w:p w14:paraId="0C1DF4FB" w14:textId="77777777" w:rsidR="00A6769F" w:rsidRPr="00240322" w:rsidRDefault="00A6769F" w:rsidP="00A6769F">
      <w:pPr>
        <w:widowControl w:val="0"/>
        <w:numPr>
          <w:ilvl w:val="0"/>
          <w:numId w:val="9"/>
        </w:numPr>
        <w:tabs>
          <w:tab w:val="clear" w:pos="1800"/>
          <w:tab w:val="left" w:pos="1440"/>
          <w:tab w:val="right" w:pos="7200"/>
        </w:tabs>
        <w:spacing w:after="0"/>
        <w:ind w:left="1440" w:hanging="720"/>
        <w:jc w:val="left"/>
        <w:rPr>
          <w:rFonts w:ascii="Arial" w:hAnsi="Arial" w:cs="Arial"/>
          <w:sz w:val="24"/>
          <w:szCs w:val="24"/>
        </w:rPr>
      </w:pPr>
      <w:r w:rsidRPr="00240322">
        <w:rPr>
          <w:rFonts w:ascii="Arial" w:hAnsi="Arial" w:cs="Arial"/>
          <w:sz w:val="24"/>
          <w:szCs w:val="24"/>
        </w:rPr>
        <w:t xml:space="preserve">Gresham will be responsible for performing all actions necessary to comply with the environmental review requirements contained in 24 CFR 92.633.  Gresham may not commit any HOME funds to projects nor allow any activities that would have an adverse environmental impact or limit the choice of reasonable alternatives until the environmental review requirements contained in 24 CFR 92.633 and 24 CFR Part 58 have been </w:t>
      </w:r>
      <w:r w:rsidRPr="00240322">
        <w:rPr>
          <w:rFonts w:ascii="Arial" w:hAnsi="Arial" w:cs="Arial"/>
          <w:sz w:val="24"/>
          <w:szCs w:val="24"/>
        </w:rPr>
        <w:lastRenderedPageBreak/>
        <w:t>met.  Gresham will be responsible for preparing all review documents and publishing all required public notices on behalf of the City and shall identify the City to receive any public comments.  The City is the Certifying Officer for purposes of these requirements.  The City will process all necessary Requests for Release of Funds (RROF).  When the RROF has been approved by HUD, the City will notify Gresham that funds may be committed to the project.  All review documentation, correspondence, public notices and other documents pertaining to environmental review shall be maintained by the City. These documents must be kept on site at the City of Gresham.</w:t>
      </w:r>
    </w:p>
    <w:p w14:paraId="744BF8DA" w14:textId="77777777" w:rsidR="00114301" w:rsidRDefault="00114301" w:rsidP="00114301">
      <w:pPr>
        <w:widowControl w:val="0"/>
        <w:tabs>
          <w:tab w:val="left" w:pos="1440"/>
          <w:tab w:val="right" w:pos="7200"/>
        </w:tabs>
        <w:spacing w:after="0"/>
        <w:ind w:left="1440"/>
        <w:jc w:val="left"/>
        <w:rPr>
          <w:rFonts w:ascii="Arial" w:hAnsi="Arial" w:cs="Arial"/>
          <w:sz w:val="24"/>
          <w:szCs w:val="24"/>
        </w:rPr>
      </w:pPr>
    </w:p>
    <w:p w14:paraId="2196C1D4" w14:textId="77777777" w:rsidR="00A6769F" w:rsidRDefault="00A6769F" w:rsidP="00A6769F">
      <w:pPr>
        <w:widowControl w:val="0"/>
        <w:numPr>
          <w:ilvl w:val="0"/>
          <w:numId w:val="9"/>
        </w:numPr>
        <w:tabs>
          <w:tab w:val="clear" w:pos="1800"/>
          <w:tab w:val="left" w:pos="1440"/>
          <w:tab w:val="right" w:pos="7200"/>
        </w:tabs>
        <w:spacing w:after="0"/>
        <w:ind w:left="1440" w:hanging="720"/>
        <w:jc w:val="left"/>
        <w:rPr>
          <w:rFonts w:ascii="Arial" w:hAnsi="Arial" w:cs="Arial"/>
          <w:sz w:val="24"/>
          <w:szCs w:val="24"/>
        </w:rPr>
      </w:pPr>
      <w:r w:rsidRPr="00240322">
        <w:rPr>
          <w:rFonts w:ascii="Arial" w:hAnsi="Arial" w:cs="Arial"/>
          <w:sz w:val="24"/>
          <w:szCs w:val="24"/>
        </w:rPr>
        <w:t>Funds under this IGA must be obligated, committed and expended in IDIS according to the timelines described in the HOME regulations. 24 CFR Section 92.502</w:t>
      </w:r>
    </w:p>
    <w:p w14:paraId="2F969498" w14:textId="77777777" w:rsidR="00F82A63" w:rsidRDefault="00F82A63" w:rsidP="00F82A63">
      <w:pPr>
        <w:pStyle w:val="ListParagraph"/>
        <w:rPr>
          <w:rFonts w:ascii="Arial" w:hAnsi="Arial" w:cs="Arial"/>
          <w:szCs w:val="24"/>
        </w:rPr>
      </w:pPr>
    </w:p>
    <w:p w14:paraId="3ECF55FF" w14:textId="77777777" w:rsidR="00F82A63" w:rsidRPr="00B545E1" w:rsidRDefault="00E47E31" w:rsidP="00A6769F">
      <w:pPr>
        <w:widowControl w:val="0"/>
        <w:numPr>
          <w:ilvl w:val="0"/>
          <w:numId w:val="9"/>
        </w:numPr>
        <w:tabs>
          <w:tab w:val="clear" w:pos="1800"/>
          <w:tab w:val="left" w:pos="1440"/>
          <w:tab w:val="right" w:pos="7200"/>
        </w:tabs>
        <w:spacing w:after="0"/>
        <w:ind w:left="1440" w:hanging="720"/>
        <w:jc w:val="left"/>
        <w:rPr>
          <w:rFonts w:ascii="Arial" w:hAnsi="Arial" w:cs="Arial"/>
          <w:sz w:val="24"/>
          <w:szCs w:val="24"/>
        </w:rPr>
      </w:pPr>
      <w:r w:rsidRPr="00B545E1">
        <w:rPr>
          <w:rFonts w:ascii="Arial" w:hAnsi="Arial" w:cs="Arial"/>
          <w:sz w:val="24"/>
          <w:szCs w:val="24"/>
        </w:rPr>
        <w:t>As a member of the</w:t>
      </w:r>
      <w:r w:rsidR="00F82A63" w:rsidRPr="00B545E1">
        <w:rPr>
          <w:rFonts w:ascii="Arial" w:hAnsi="Arial" w:cs="Arial"/>
          <w:sz w:val="24"/>
          <w:szCs w:val="24"/>
        </w:rPr>
        <w:t xml:space="preserve"> </w:t>
      </w:r>
      <w:r w:rsidRPr="00B545E1">
        <w:rPr>
          <w:rFonts w:ascii="Arial" w:hAnsi="Arial" w:cs="Arial"/>
          <w:sz w:val="24"/>
          <w:szCs w:val="24"/>
        </w:rPr>
        <w:t>HOME C</w:t>
      </w:r>
      <w:r w:rsidR="00F82A63" w:rsidRPr="00B545E1">
        <w:rPr>
          <w:rFonts w:ascii="Arial" w:hAnsi="Arial" w:cs="Arial"/>
          <w:sz w:val="24"/>
          <w:szCs w:val="24"/>
        </w:rPr>
        <w:t>onsortium</w:t>
      </w:r>
      <w:r w:rsidRPr="00B545E1">
        <w:rPr>
          <w:rFonts w:ascii="Arial" w:hAnsi="Arial" w:cs="Arial"/>
          <w:sz w:val="24"/>
          <w:szCs w:val="24"/>
        </w:rPr>
        <w:t xml:space="preserve">, Gresham </w:t>
      </w:r>
      <w:r w:rsidR="00F82A63" w:rsidRPr="00B545E1">
        <w:rPr>
          <w:rFonts w:ascii="Arial" w:hAnsi="Arial" w:cs="Arial"/>
          <w:sz w:val="24"/>
          <w:szCs w:val="24"/>
        </w:rPr>
        <w:t>will adopt any amendments to the agreement that are necessary to meet HUD requirements for consortia agreements in successive qualification periods</w:t>
      </w:r>
      <w:r w:rsidRPr="00B545E1">
        <w:rPr>
          <w:rFonts w:ascii="Arial" w:hAnsi="Arial" w:cs="Arial"/>
          <w:sz w:val="24"/>
          <w:szCs w:val="24"/>
        </w:rPr>
        <w:t>.</w:t>
      </w:r>
    </w:p>
    <w:p w14:paraId="3322FC1E" w14:textId="77777777" w:rsidR="00A6769F" w:rsidRPr="00240322" w:rsidRDefault="00A6769F" w:rsidP="00A6769F">
      <w:pPr>
        <w:pStyle w:val="ListParagraph"/>
        <w:rPr>
          <w:rFonts w:ascii="Arial" w:hAnsi="Arial" w:cs="Arial"/>
          <w:szCs w:val="24"/>
        </w:rPr>
      </w:pPr>
    </w:p>
    <w:p w14:paraId="602ED4A0" w14:textId="77777777" w:rsidR="00A6769F" w:rsidRPr="00240322" w:rsidRDefault="00A6769F" w:rsidP="00A6769F">
      <w:pPr>
        <w:widowControl w:val="0"/>
        <w:numPr>
          <w:ilvl w:val="0"/>
          <w:numId w:val="9"/>
        </w:numPr>
        <w:tabs>
          <w:tab w:val="clear" w:pos="1800"/>
          <w:tab w:val="left" w:pos="1440"/>
          <w:tab w:val="right" w:pos="7200"/>
        </w:tabs>
        <w:spacing w:after="120"/>
        <w:ind w:left="1440" w:hanging="720"/>
        <w:jc w:val="left"/>
        <w:rPr>
          <w:rFonts w:ascii="Arial" w:hAnsi="Arial" w:cs="Arial"/>
          <w:sz w:val="24"/>
          <w:szCs w:val="24"/>
        </w:rPr>
      </w:pPr>
      <w:r w:rsidRPr="00240322">
        <w:rPr>
          <w:rFonts w:ascii="Arial" w:hAnsi="Arial" w:cs="Arial"/>
          <w:sz w:val="24"/>
          <w:szCs w:val="24"/>
        </w:rPr>
        <w:t>Monitoring for Regulatory Compliance</w:t>
      </w:r>
    </w:p>
    <w:p w14:paraId="7F9FF422" w14:textId="77777777" w:rsidR="00A6769F" w:rsidRPr="00240322" w:rsidRDefault="00A6769F" w:rsidP="00B545E1">
      <w:pPr>
        <w:widowControl w:val="0"/>
        <w:numPr>
          <w:ilvl w:val="3"/>
          <w:numId w:val="2"/>
        </w:numPr>
        <w:tabs>
          <w:tab w:val="left" w:pos="1800"/>
        </w:tabs>
        <w:spacing w:after="0"/>
        <w:ind w:left="1800" w:hanging="360"/>
        <w:jc w:val="left"/>
        <w:rPr>
          <w:rFonts w:ascii="Arial" w:hAnsi="Arial" w:cs="Arial"/>
          <w:sz w:val="24"/>
          <w:szCs w:val="24"/>
        </w:rPr>
      </w:pPr>
      <w:r w:rsidRPr="00240322">
        <w:rPr>
          <w:rFonts w:ascii="Arial" w:hAnsi="Arial" w:cs="Arial"/>
          <w:sz w:val="24"/>
          <w:szCs w:val="24"/>
        </w:rPr>
        <w:t>Gresham will be responsible for monitoring all projects developed under this IGA for compliance with HOME regulations contained in 24 CFR 92 including all other applicable federal regulations such as Davis-Bacon, Lead Based Paint, etc.</w:t>
      </w:r>
    </w:p>
    <w:p w14:paraId="3665BFC7" w14:textId="77777777" w:rsidR="00A6769F" w:rsidRPr="00240322" w:rsidRDefault="00A6769F" w:rsidP="00B545E1">
      <w:pPr>
        <w:widowControl w:val="0"/>
        <w:tabs>
          <w:tab w:val="left" w:pos="1800"/>
        </w:tabs>
        <w:spacing w:after="0"/>
        <w:ind w:left="1440"/>
        <w:jc w:val="left"/>
        <w:rPr>
          <w:rFonts w:ascii="Arial" w:hAnsi="Arial" w:cs="Arial"/>
          <w:sz w:val="24"/>
          <w:szCs w:val="24"/>
        </w:rPr>
      </w:pPr>
    </w:p>
    <w:p w14:paraId="787AFFD8" w14:textId="77777777" w:rsidR="00386451" w:rsidRDefault="00A6769F" w:rsidP="00B545E1">
      <w:pPr>
        <w:widowControl w:val="0"/>
        <w:numPr>
          <w:ilvl w:val="3"/>
          <w:numId w:val="2"/>
        </w:numPr>
        <w:tabs>
          <w:tab w:val="left" w:pos="1800"/>
        </w:tabs>
        <w:spacing w:after="0"/>
        <w:ind w:left="1800" w:hanging="360"/>
        <w:jc w:val="left"/>
        <w:rPr>
          <w:rFonts w:ascii="Arial" w:hAnsi="Arial" w:cs="Arial"/>
          <w:sz w:val="24"/>
          <w:szCs w:val="24"/>
        </w:rPr>
      </w:pPr>
      <w:r w:rsidRPr="00240322">
        <w:rPr>
          <w:rFonts w:ascii="Arial" w:hAnsi="Arial" w:cs="Arial"/>
          <w:sz w:val="24"/>
          <w:szCs w:val="24"/>
        </w:rPr>
        <w:t>Gresham shall monitor each project throughout the pre-development, development and rent-up phases to ensure that the project initially complies with the HOME and all other applicable federal regulations.  No less than 90% of rental units developed under this IGA must be occupied by households whose annual incomes are at or below 60% of the area median income at initial occupancy.  The remaining units must be occupied by households at or below 80% of area median income.   24 CFR 92.252</w:t>
      </w:r>
    </w:p>
    <w:p w14:paraId="21B5F768" w14:textId="77777777" w:rsidR="00386451" w:rsidRDefault="00386451" w:rsidP="00386451">
      <w:pPr>
        <w:widowControl w:val="0"/>
        <w:tabs>
          <w:tab w:val="left" w:pos="1800"/>
        </w:tabs>
        <w:spacing w:after="0"/>
        <w:ind w:left="1800"/>
        <w:jc w:val="left"/>
        <w:rPr>
          <w:rFonts w:ascii="Arial" w:hAnsi="Arial" w:cs="Arial"/>
          <w:sz w:val="24"/>
          <w:szCs w:val="24"/>
        </w:rPr>
      </w:pPr>
    </w:p>
    <w:p w14:paraId="5CE12706" w14:textId="77777777" w:rsidR="00A6769F" w:rsidRPr="00386451" w:rsidRDefault="00A6769F" w:rsidP="0043271F">
      <w:pPr>
        <w:widowControl w:val="0"/>
        <w:numPr>
          <w:ilvl w:val="3"/>
          <w:numId w:val="2"/>
        </w:numPr>
        <w:tabs>
          <w:tab w:val="left" w:pos="1800"/>
        </w:tabs>
        <w:spacing w:after="0"/>
        <w:ind w:left="1800" w:hanging="360"/>
        <w:jc w:val="left"/>
        <w:rPr>
          <w:rFonts w:ascii="Arial" w:hAnsi="Arial" w:cs="Arial"/>
          <w:sz w:val="24"/>
          <w:szCs w:val="24"/>
        </w:rPr>
      </w:pPr>
      <w:r w:rsidRPr="00386451">
        <w:rPr>
          <w:rFonts w:ascii="Arial" w:hAnsi="Arial" w:cs="Arial"/>
          <w:sz w:val="24"/>
          <w:szCs w:val="24"/>
        </w:rPr>
        <w:t>The City of Portland shall be responsible for ongoing monitoring during the period of affordability for each project.  This monitoring shall include required housing quality inspections, compliance with rent guidelines, and income verification of tenants, as well as any other periodic monitoring requirement under the HOME regulations.  24 CFR 92.251</w:t>
      </w:r>
    </w:p>
    <w:p w14:paraId="44A2EDA4" w14:textId="77777777" w:rsidR="00A6769F" w:rsidRPr="00240322" w:rsidRDefault="00A6769F" w:rsidP="00B545E1">
      <w:pPr>
        <w:widowControl w:val="0"/>
        <w:tabs>
          <w:tab w:val="left" w:pos="1800"/>
        </w:tabs>
        <w:spacing w:after="0"/>
        <w:ind w:left="1440"/>
        <w:jc w:val="left"/>
        <w:rPr>
          <w:rFonts w:ascii="Arial" w:hAnsi="Arial" w:cs="Arial"/>
          <w:sz w:val="24"/>
          <w:szCs w:val="24"/>
        </w:rPr>
      </w:pPr>
    </w:p>
    <w:p w14:paraId="39838BF6" w14:textId="77777777" w:rsidR="00A6769F" w:rsidRPr="00240322" w:rsidRDefault="00A6769F" w:rsidP="00B545E1">
      <w:pPr>
        <w:widowControl w:val="0"/>
        <w:numPr>
          <w:ilvl w:val="3"/>
          <w:numId w:val="2"/>
        </w:numPr>
        <w:tabs>
          <w:tab w:val="left" w:pos="1800"/>
        </w:tabs>
        <w:spacing w:after="0"/>
        <w:ind w:left="1800" w:hanging="360"/>
        <w:jc w:val="left"/>
        <w:rPr>
          <w:rFonts w:ascii="Arial" w:hAnsi="Arial" w:cs="Arial"/>
          <w:sz w:val="24"/>
          <w:szCs w:val="24"/>
        </w:rPr>
      </w:pPr>
      <w:r w:rsidRPr="00240322">
        <w:rPr>
          <w:rFonts w:ascii="Arial" w:hAnsi="Arial" w:cs="Arial"/>
          <w:sz w:val="24"/>
          <w:szCs w:val="24"/>
        </w:rPr>
        <w:t>If at any time during the period of affordability a project is found by HUD not to qualify as affordable housing, the Consortium will be responsible for repaying such funds subject to first pursuing corrective and remedial actions and sanctions authorized at 24 CFR 92.551 and 552</w:t>
      </w:r>
      <w:r w:rsidR="00E47E31">
        <w:rPr>
          <w:rFonts w:ascii="Arial" w:hAnsi="Arial" w:cs="Arial"/>
          <w:sz w:val="24"/>
          <w:szCs w:val="24"/>
        </w:rPr>
        <w:t>.</w:t>
      </w:r>
    </w:p>
    <w:p w14:paraId="069D3EFA" w14:textId="77777777" w:rsidR="00A6769F" w:rsidRPr="00240322" w:rsidRDefault="00A6769F" w:rsidP="00A6769F">
      <w:pPr>
        <w:pStyle w:val="ListParagraph"/>
        <w:rPr>
          <w:rFonts w:ascii="Arial" w:hAnsi="Arial" w:cs="Arial"/>
          <w:szCs w:val="24"/>
        </w:rPr>
      </w:pPr>
    </w:p>
    <w:p w14:paraId="5985B1CB" w14:textId="77777777" w:rsidR="00A6769F" w:rsidRDefault="00A6769F" w:rsidP="0043271F">
      <w:pPr>
        <w:pStyle w:val="ListParagraph"/>
        <w:numPr>
          <w:ilvl w:val="0"/>
          <w:numId w:val="8"/>
        </w:numPr>
        <w:tabs>
          <w:tab w:val="left" w:pos="720"/>
          <w:tab w:val="right" w:pos="7200"/>
        </w:tabs>
        <w:spacing w:after="120"/>
        <w:rPr>
          <w:rFonts w:ascii="Arial" w:hAnsi="Arial" w:cs="Arial"/>
          <w:szCs w:val="24"/>
          <w:u w:val="single"/>
        </w:rPr>
      </w:pPr>
      <w:r w:rsidRPr="00386451">
        <w:rPr>
          <w:rFonts w:ascii="Arial" w:hAnsi="Arial" w:cs="Arial"/>
          <w:szCs w:val="24"/>
          <w:u w:val="single"/>
        </w:rPr>
        <w:t>Method of Payment</w:t>
      </w:r>
    </w:p>
    <w:p w14:paraId="75285A5B" w14:textId="2A8CEFA4" w:rsidR="00DE315E" w:rsidRPr="009324C9" w:rsidRDefault="00A6769F" w:rsidP="00DE315E">
      <w:pPr>
        <w:pStyle w:val="ListParagraph"/>
        <w:numPr>
          <w:ilvl w:val="0"/>
          <w:numId w:val="16"/>
        </w:numPr>
        <w:tabs>
          <w:tab w:val="left" w:pos="-1440"/>
        </w:tabs>
        <w:ind w:left="1440" w:hanging="720"/>
        <w:rPr>
          <w:rFonts w:ascii="Arial" w:hAnsi="Arial" w:cs="Arial"/>
          <w:szCs w:val="24"/>
        </w:rPr>
      </w:pPr>
      <w:r w:rsidRPr="00DE315E">
        <w:rPr>
          <w:rFonts w:ascii="Arial" w:hAnsi="Arial" w:cs="Arial"/>
          <w:szCs w:val="24"/>
        </w:rPr>
        <w:t xml:space="preserve">The City will pay Gresham for actual or anticipated expenses in accordance with the Budget (Exhibit A), upon submission of an itemized statement of expenditures. Final </w:t>
      </w:r>
      <w:r w:rsidRPr="009324C9">
        <w:rPr>
          <w:rFonts w:ascii="Arial" w:hAnsi="Arial" w:cs="Arial"/>
          <w:szCs w:val="24"/>
        </w:rPr>
        <w:t xml:space="preserve">Agreement invoice must be received by PHB on or before </w:t>
      </w:r>
      <w:r w:rsidRPr="009324C9">
        <w:rPr>
          <w:rFonts w:ascii="Arial" w:hAnsi="Arial" w:cs="Arial"/>
          <w:b/>
          <w:szCs w:val="24"/>
        </w:rPr>
        <w:t xml:space="preserve">July </w:t>
      </w:r>
      <w:r w:rsidR="0043271F" w:rsidRPr="009324C9">
        <w:rPr>
          <w:rFonts w:ascii="Arial" w:hAnsi="Arial" w:cs="Arial"/>
          <w:b/>
          <w:szCs w:val="24"/>
        </w:rPr>
        <w:t>6</w:t>
      </w:r>
      <w:r w:rsidRPr="009324C9">
        <w:rPr>
          <w:rFonts w:ascii="Arial" w:hAnsi="Arial" w:cs="Arial"/>
          <w:b/>
          <w:szCs w:val="24"/>
        </w:rPr>
        <w:t>, 20</w:t>
      </w:r>
      <w:r w:rsidR="00E47E31" w:rsidRPr="009324C9">
        <w:rPr>
          <w:rFonts w:ascii="Arial" w:hAnsi="Arial" w:cs="Arial"/>
          <w:b/>
          <w:szCs w:val="24"/>
        </w:rPr>
        <w:t>2</w:t>
      </w:r>
      <w:r w:rsidR="00C7172E">
        <w:rPr>
          <w:rFonts w:ascii="Arial" w:hAnsi="Arial" w:cs="Arial"/>
          <w:b/>
          <w:szCs w:val="24"/>
        </w:rPr>
        <w:t>2</w:t>
      </w:r>
      <w:r w:rsidR="00DE315E" w:rsidRPr="009324C9">
        <w:rPr>
          <w:rFonts w:ascii="Arial" w:hAnsi="Arial" w:cs="Arial"/>
          <w:b/>
          <w:szCs w:val="24"/>
        </w:rPr>
        <w:t>.</w:t>
      </w:r>
    </w:p>
    <w:p w14:paraId="281F5137" w14:textId="77777777" w:rsidR="00DE315E" w:rsidRPr="00DE315E" w:rsidRDefault="00DE315E" w:rsidP="00DE315E">
      <w:pPr>
        <w:pStyle w:val="ListParagraph"/>
        <w:rPr>
          <w:rFonts w:ascii="Arial" w:hAnsi="Arial" w:cs="Arial"/>
          <w:szCs w:val="24"/>
        </w:rPr>
      </w:pPr>
    </w:p>
    <w:p w14:paraId="547B8412" w14:textId="77777777" w:rsidR="00DE315E" w:rsidRDefault="00A6769F" w:rsidP="00DE315E">
      <w:pPr>
        <w:pStyle w:val="ListParagraph"/>
        <w:numPr>
          <w:ilvl w:val="0"/>
          <w:numId w:val="16"/>
        </w:numPr>
        <w:tabs>
          <w:tab w:val="left" w:pos="-1440"/>
        </w:tabs>
        <w:ind w:left="1440" w:hanging="720"/>
        <w:rPr>
          <w:rFonts w:ascii="Arial" w:hAnsi="Arial" w:cs="Arial"/>
          <w:szCs w:val="24"/>
        </w:rPr>
      </w:pPr>
      <w:r w:rsidRPr="00DE315E">
        <w:rPr>
          <w:rFonts w:ascii="Arial" w:hAnsi="Arial" w:cs="Arial"/>
          <w:szCs w:val="24"/>
        </w:rPr>
        <w:t xml:space="preserve">Substantive changes to the approved budget must be approved in writing by </w:t>
      </w:r>
      <w:r w:rsidR="00F84543">
        <w:rPr>
          <w:rFonts w:ascii="Arial" w:hAnsi="Arial" w:cs="Arial"/>
          <w:szCs w:val="24"/>
        </w:rPr>
        <w:t xml:space="preserve">the authorized representatives of </w:t>
      </w:r>
      <w:r w:rsidRPr="00DE315E">
        <w:rPr>
          <w:rFonts w:ascii="Arial" w:hAnsi="Arial" w:cs="Arial"/>
          <w:szCs w:val="24"/>
        </w:rPr>
        <w:t>both parties, prior to expenditure under new budget categories or amounts.  Minor line item adjustments may be approved by Project Managers.</w:t>
      </w:r>
    </w:p>
    <w:p w14:paraId="21867F42" w14:textId="77777777" w:rsidR="00DE315E" w:rsidRPr="00DE315E" w:rsidRDefault="00DE315E" w:rsidP="00DE315E">
      <w:pPr>
        <w:pStyle w:val="ListParagraph"/>
        <w:rPr>
          <w:rFonts w:ascii="Arial" w:hAnsi="Arial" w:cs="Arial"/>
          <w:szCs w:val="24"/>
        </w:rPr>
      </w:pPr>
    </w:p>
    <w:p w14:paraId="3FCCBCDA" w14:textId="77777777" w:rsidR="00DE315E" w:rsidRDefault="00A6769F" w:rsidP="00DE315E">
      <w:pPr>
        <w:pStyle w:val="ListParagraph"/>
        <w:numPr>
          <w:ilvl w:val="0"/>
          <w:numId w:val="16"/>
        </w:numPr>
        <w:tabs>
          <w:tab w:val="left" w:pos="-1440"/>
        </w:tabs>
        <w:ind w:left="1440" w:hanging="720"/>
        <w:rPr>
          <w:rFonts w:ascii="Arial" w:hAnsi="Arial" w:cs="Arial"/>
          <w:szCs w:val="24"/>
        </w:rPr>
      </w:pPr>
      <w:r w:rsidRPr="00DE315E">
        <w:rPr>
          <w:rFonts w:ascii="Arial" w:hAnsi="Arial" w:cs="Arial"/>
          <w:szCs w:val="24"/>
        </w:rPr>
        <w:t>All project set-ups and draw-downs will be processed by the City through IDIS. Gresham will generally be responsible for preparing necessary forms for project set-up, project drawdown, and project completion.  The City will process these forms.  If the City finds that the transaction cannot be processed, the City will return the documents to Gresham for correction.  The City shall provide technical assistance to assist wi</w:t>
      </w:r>
      <w:r w:rsidR="00DE315E">
        <w:rPr>
          <w:rFonts w:ascii="Arial" w:hAnsi="Arial" w:cs="Arial"/>
          <w:szCs w:val="24"/>
        </w:rPr>
        <w:t>th compliance with this section.</w:t>
      </w:r>
    </w:p>
    <w:p w14:paraId="2C75C1AD" w14:textId="77777777" w:rsidR="00DE315E" w:rsidRPr="00DE315E" w:rsidRDefault="00DE315E" w:rsidP="00DE315E">
      <w:pPr>
        <w:pStyle w:val="ListParagraph"/>
        <w:rPr>
          <w:rFonts w:ascii="Arial" w:hAnsi="Arial" w:cs="Arial"/>
          <w:szCs w:val="24"/>
        </w:rPr>
      </w:pPr>
    </w:p>
    <w:p w14:paraId="3C93D274" w14:textId="77777777" w:rsidR="00DE315E" w:rsidRPr="00F83CFB" w:rsidRDefault="00A6769F" w:rsidP="00DE315E">
      <w:pPr>
        <w:pStyle w:val="ListParagraph"/>
        <w:numPr>
          <w:ilvl w:val="0"/>
          <w:numId w:val="16"/>
        </w:numPr>
        <w:tabs>
          <w:tab w:val="left" w:pos="-1440"/>
        </w:tabs>
        <w:ind w:left="1440" w:hanging="720"/>
        <w:rPr>
          <w:rFonts w:ascii="Arial" w:hAnsi="Arial" w:cs="Arial"/>
          <w:szCs w:val="24"/>
        </w:rPr>
      </w:pPr>
      <w:r w:rsidRPr="00DE315E">
        <w:rPr>
          <w:rFonts w:ascii="Arial" w:hAnsi="Arial" w:cs="Arial"/>
          <w:szCs w:val="24"/>
        </w:rPr>
        <w:t xml:space="preserve">All funds received by Gresham must be disbursed within 15 days of </w:t>
      </w:r>
      <w:r w:rsidRPr="00F83CFB">
        <w:rPr>
          <w:rFonts w:ascii="Arial" w:hAnsi="Arial" w:cs="Arial"/>
          <w:szCs w:val="24"/>
        </w:rPr>
        <w:t>receipt.</w:t>
      </w:r>
    </w:p>
    <w:p w14:paraId="0DFD865C" w14:textId="77777777" w:rsidR="00DE315E" w:rsidRPr="00F83CFB" w:rsidRDefault="00DE315E" w:rsidP="00DE315E">
      <w:pPr>
        <w:pStyle w:val="ListParagraph"/>
        <w:rPr>
          <w:rFonts w:ascii="Arial" w:hAnsi="Arial" w:cs="Arial"/>
          <w:szCs w:val="24"/>
        </w:rPr>
      </w:pPr>
    </w:p>
    <w:p w14:paraId="52181F35" w14:textId="77777777" w:rsidR="00A6769F" w:rsidRPr="00F83CFB" w:rsidRDefault="00A6769F" w:rsidP="00DE315E">
      <w:pPr>
        <w:pStyle w:val="ListParagraph"/>
        <w:numPr>
          <w:ilvl w:val="0"/>
          <w:numId w:val="16"/>
        </w:numPr>
        <w:tabs>
          <w:tab w:val="left" w:pos="-1440"/>
        </w:tabs>
        <w:ind w:left="1440" w:hanging="720"/>
        <w:rPr>
          <w:rFonts w:ascii="Arial" w:hAnsi="Arial" w:cs="Arial"/>
          <w:szCs w:val="24"/>
        </w:rPr>
      </w:pPr>
      <w:r w:rsidRPr="00F83CFB">
        <w:rPr>
          <w:rFonts w:ascii="Arial" w:hAnsi="Arial" w:cs="Arial"/>
          <w:szCs w:val="24"/>
        </w:rPr>
        <w:t>All program income generated from HOME funded activities will be returned by Gresham to the Local HOME Account maintained by the City.  Program income attributable to Gresham activities will be reallocated to Gresham for eligible HOME activities pursuant to the HOME Consortium Agreement.</w:t>
      </w:r>
    </w:p>
    <w:p w14:paraId="02721F68" w14:textId="77777777" w:rsidR="00DE315E" w:rsidRPr="00DE315E" w:rsidRDefault="00DE315E" w:rsidP="00DE315E">
      <w:pPr>
        <w:pStyle w:val="ListParagraph"/>
        <w:rPr>
          <w:rFonts w:ascii="Arial" w:hAnsi="Arial" w:cs="Arial"/>
          <w:szCs w:val="24"/>
        </w:rPr>
      </w:pPr>
    </w:p>
    <w:p w14:paraId="197DF008" w14:textId="77777777" w:rsidR="004D1C89" w:rsidRDefault="00A6769F" w:rsidP="00386451">
      <w:pPr>
        <w:pStyle w:val="ListParagraph"/>
        <w:numPr>
          <w:ilvl w:val="0"/>
          <w:numId w:val="13"/>
        </w:numPr>
        <w:tabs>
          <w:tab w:val="left" w:pos="720"/>
          <w:tab w:val="right" w:pos="7200"/>
        </w:tabs>
        <w:spacing w:after="120"/>
        <w:rPr>
          <w:rFonts w:ascii="Arial" w:hAnsi="Arial" w:cs="Arial"/>
          <w:szCs w:val="24"/>
          <w:u w:val="single"/>
        </w:rPr>
      </w:pPr>
      <w:r w:rsidRPr="00240322">
        <w:rPr>
          <w:rFonts w:ascii="Arial" w:hAnsi="Arial" w:cs="Arial"/>
          <w:szCs w:val="24"/>
          <w:u w:val="single"/>
        </w:rPr>
        <w:t>Reporting</w:t>
      </w:r>
    </w:p>
    <w:p w14:paraId="6F2B8284" w14:textId="014D9C9D" w:rsidR="00386451" w:rsidRPr="00386451" w:rsidRDefault="00A6769F" w:rsidP="004D1C89">
      <w:pPr>
        <w:pStyle w:val="ListParagraph"/>
        <w:tabs>
          <w:tab w:val="left" w:pos="720"/>
          <w:tab w:val="right" w:pos="7200"/>
        </w:tabs>
        <w:spacing w:after="120"/>
        <w:rPr>
          <w:rFonts w:ascii="Arial" w:hAnsi="Arial" w:cs="Arial"/>
          <w:szCs w:val="24"/>
          <w:u w:val="single"/>
        </w:rPr>
      </w:pPr>
      <w:r w:rsidRPr="00386451">
        <w:rPr>
          <w:rFonts w:ascii="Arial" w:hAnsi="Arial" w:cs="Arial"/>
          <w:szCs w:val="24"/>
        </w:rPr>
        <w:t>Gresham shall provide such reports and other information as may be required by the City from time to time.  These reports shall be in the format and meet the timelines determined by the City.  Reports or other information may be required as necessary for the City to track compliance with all federal regulations of the HOME Program, to provide required information to the U.S. Department of Housing and Urban Development, and to make such internal reports</w:t>
      </w:r>
      <w:r w:rsidR="00386451">
        <w:rPr>
          <w:rFonts w:ascii="Arial" w:hAnsi="Arial" w:cs="Arial"/>
          <w:szCs w:val="24"/>
        </w:rPr>
        <w:t xml:space="preserve"> as may be required by the City.</w:t>
      </w:r>
    </w:p>
    <w:p w14:paraId="733AE276" w14:textId="77777777" w:rsidR="00386451" w:rsidRPr="00386451" w:rsidRDefault="00386451" w:rsidP="00386451">
      <w:pPr>
        <w:pStyle w:val="ListParagraph"/>
        <w:tabs>
          <w:tab w:val="left" w:pos="720"/>
          <w:tab w:val="right" w:pos="7200"/>
        </w:tabs>
        <w:spacing w:after="120"/>
        <w:rPr>
          <w:rFonts w:ascii="Arial" w:hAnsi="Arial" w:cs="Arial"/>
          <w:szCs w:val="24"/>
          <w:u w:val="single"/>
        </w:rPr>
      </w:pPr>
    </w:p>
    <w:p w14:paraId="350EB7FD" w14:textId="77777777" w:rsidR="00386451" w:rsidRDefault="00A6769F" w:rsidP="00386451">
      <w:pPr>
        <w:pStyle w:val="ListParagraph"/>
        <w:tabs>
          <w:tab w:val="left" w:pos="720"/>
          <w:tab w:val="right" w:pos="7200"/>
        </w:tabs>
        <w:spacing w:after="120"/>
        <w:rPr>
          <w:rFonts w:ascii="Arial" w:hAnsi="Arial" w:cs="Arial"/>
          <w:szCs w:val="24"/>
        </w:rPr>
      </w:pPr>
      <w:r w:rsidRPr="00386451">
        <w:rPr>
          <w:rFonts w:ascii="Arial" w:hAnsi="Arial" w:cs="Arial"/>
          <w:szCs w:val="24"/>
        </w:rPr>
        <w:t>Each HOME funded activity that is administered by the City of Gresham will require a set</w:t>
      </w:r>
      <w:r w:rsidR="003C4581">
        <w:rPr>
          <w:rFonts w:ascii="Arial" w:hAnsi="Arial" w:cs="Arial"/>
          <w:szCs w:val="24"/>
        </w:rPr>
        <w:t>-</w:t>
      </w:r>
      <w:r w:rsidRPr="00386451">
        <w:rPr>
          <w:rFonts w:ascii="Arial" w:hAnsi="Arial" w:cs="Arial"/>
          <w:szCs w:val="24"/>
        </w:rPr>
        <w:t>up and a close out form submitted to the City in order to be tracked in IDIS.  Rental housing development activities will require Gresham to provide an annual update until the project is completed, occupied, and demographic data is provided to close out the activity in IDIS.</w:t>
      </w:r>
    </w:p>
    <w:p w14:paraId="10B526C6" w14:textId="77777777" w:rsidR="00386451" w:rsidRDefault="00386451" w:rsidP="00386451">
      <w:pPr>
        <w:pStyle w:val="ListParagraph"/>
        <w:tabs>
          <w:tab w:val="left" w:pos="720"/>
          <w:tab w:val="right" w:pos="7200"/>
        </w:tabs>
        <w:spacing w:after="120"/>
        <w:rPr>
          <w:rFonts w:ascii="Arial" w:hAnsi="Arial" w:cs="Arial"/>
          <w:szCs w:val="24"/>
        </w:rPr>
      </w:pPr>
    </w:p>
    <w:p w14:paraId="109D46CF" w14:textId="77777777" w:rsidR="00A6769F" w:rsidRPr="00386451" w:rsidRDefault="00A6769F" w:rsidP="00386451">
      <w:pPr>
        <w:pStyle w:val="ListParagraph"/>
        <w:tabs>
          <w:tab w:val="left" w:pos="720"/>
          <w:tab w:val="right" w:pos="7200"/>
        </w:tabs>
        <w:spacing w:after="120"/>
        <w:rPr>
          <w:rFonts w:ascii="Arial" w:hAnsi="Arial" w:cs="Arial"/>
          <w:szCs w:val="24"/>
          <w:u w:val="single"/>
        </w:rPr>
      </w:pPr>
      <w:r w:rsidRPr="00240322">
        <w:rPr>
          <w:rFonts w:ascii="Arial" w:hAnsi="Arial" w:cs="Arial"/>
          <w:szCs w:val="24"/>
        </w:rPr>
        <w:t xml:space="preserve">Gresham will provide the following additional annual reports using the forms attached to this IGA (Exhibits </w:t>
      </w:r>
      <w:r w:rsidR="00386451">
        <w:rPr>
          <w:rFonts w:ascii="Arial" w:hAnsi="Arial" w:cs="Arial"/>
          <w:szCs w:val="24"/>
        </w:rPr>
        <w:t>B</w:t>
      </w:r>
      <w:r w:rsidRPr="00240322">
        <w:rPr>
          <w:rFonts w:ascii="Arial" w:hAnsi="Arial" w:cs="Arial"/>
          <w:szCs w:val="24"/>
        </w:rPr>
        <w:t>).</w:t>
      </w:r>
    </w:p>
    <w:p w14:paraId="7CB2349C" w14:textId="77777777" w:rsidR="00A6769F" w:rsidRDefault="00A6769F" w:rsidP="00A6769F">
      <w:pPr>
        <w:widowControl w:val="0"/>
        <w:numPr>
          <w:ilvl w:val="0"/>
          <w:numId w:val="3"/>
        </w:numPr>
        <w:tabs>
          <w:tab w:val="clear" w:pos="360"/>
          <w:tab w:val="left" w:pos="720"/>
          <w:tab w:val="num" w:pos="1440"/>
          <w:tab w:val="left" w:pos="2160"/>
          <w:tab w:val="right" w:pos="7200"/>
        </w:tabs>
        <w:spacing w:after="0"/>
        <w:ind w:left="1440"/>
        <w:jc w:val="left"/>
        <w:rPr>
          <w:rFonts w:ascii="Arial" w:hAnsi="Arial" w:cs="Arial"/>
          <w:sz w:val="24"/>
          <w:szCs w:val="24"/>
        </w:rPr>
      </w:pPr>
      <w:r w:rsidRPr="00240322">
        <w:rPr>
          <w:rFonts w:ascii="Arial" w:hAnsi="Arial" w:cs="Arial"/>
          <w:sz w:val="24"/>
          <w:szCs w:val="24"/>
        </w:rPr>
        <w:lastRenderedPageBreak/>
        <w:t xml:space="preserve">HOME Minority and Women Business Outreach </w:t>
      </w:r>
    </w:p>
    <w:p w14:paraId="5B993477" w14:textId="77777777" w:rsidR="00322F92" w:rsidRDefault="00322F92" w:rsidP="00A6769F">
      <w:pPr>
        <w:widowControl w:val="0"/>
        <w:numPr>
          <w:ilvl w:val="0"/>
          <w:numId w:val="3"/>
        </w:numPr>
        <w:tabs>
          <w:tab w:val="clear" w:pos="360"/>
          <w:tab w:val="left" w:pos="720"/>
          <w:tab w:val="num" w:pos="1440"/>
          <w:tab w:val="left" w:pos="2160"/>
          <w:tab w:val="right" w:pos="7200"/>
        </w:tabs>
        <w:spacing w:after="0"/>
        <w:ind w:left="1440"/>
        <w:jc w:val="left"/>
        <w:rPr>
          <w:rFonts w:ascii="Arial" w:hAnsi="Arial" w:cs="Arial"/>
          <w:sz w:val="24"/>
          <w:szCs w:val="24"/>
        </w:rPr>
      </w:pPr>
      <w:r>
        <w:rPr>
          <w:rFonts w:ascii="Arial" w:hAnsi="Arial" w:cs="Arial"/>
          <w:sz w:val="24"/>
          <w:szCs w:val="24"/>
        </w:rPr>
        <w:t>Program Income</w:t>
      </w:r>
    </w:p>
    <w:p w14:paraId="1F7E935F" w14:textId="77777777" w:rsidR="00386451" w:rsidRPr="00240322" w:rsidRDefault="00386451" w:rsidP="00386451">
      <w:pPr>
        <w:widowControl w:val="0"/>
        <w:tabs>
          <w:tab w:val="left" w:pos="720"/>
          <w:tab w:val="left" w:pos="2160"/>
          <w:tab w:val="right" w:pos="7200"/>
        </w:tabs>
        <w:spacing w:after="0"/>
        <w:ind w:left="1440"/>
        <w:jc w:val="left"/>
        <w:rPr>
          <w:rFonts w:ascii="Arial" w:hAnsi="Arial" w:cs="Arial"/>
          <w:sz w:val="24"/>
          <w:szCs w:val="24"/>
        </w:rPr>
      </w:pPr>
    </w:p>
    <w:p w14:paraId="0139D891" w14:textId="77777777" w:rsidR="004D1C89" w:rsidRDefault="00A6769F" w:rsidP="00386451">
      <w:pPr>
        <w:pStyle w:val="ListParagraph"/>
        <w:numPr>
          <w:ilvl w:val="0"/>
          <w:numId w:val="13"/>
        </w:numPr>
        <w:tabs>
          <w:tab w:val="left" w:pos="720"/>
          <w:tab w:val="right" w:pos="7200"/>
        </w:tabs>
        <w:spacing w:after="120"/>
        <w:rPr>
          <w:rFonts w:ascii="Arial" w:hAnsi="Arial" w:cs="Arial"/>
          <w:szCs w:val="24"/>
          <w:u w:val="single"/>
        </w:rPr>
      </w:pPr>
      <w:r w:rsidRPr="00240322">
        <w:rPr>
          <w:rFonts w:ascii="Arial" w:hAnsi="Arial" w:cs="Arial"/>
          <w:szCs w:val="24"/>
          <w:u w:val="single"/>
        </w:rPr>
        <w:t>Monitoring and Audits</w:t>
      </w:r>
    </w:p>
    <w:p w14:paraId="55E86AB1" w14:textId="52987F68" w:rsidR="00386451" w:rsidRPr="00386451" w:rsidRDefault="00A6769F" w:rsidP="004D1C89">
      <w:pPr>
        <w:pStyle w:val="ListParagraph"/>
        <w:tabs>
          <w:tab w:val="left" w:pos="720"/>
          <w:tab w:val="right" w:pos="7200"/>
        </w:tabs>
        <w:spacing w:after="120"/>
        <w:rPr>
          <w:rFonts w:ascii="Arial" w:hAnsi="Arial" w:cs="Arial"/>
          <w:szCs w:val="24"/>
          <w:u w:val="single"/>
        </w:rPr>
      </w:pPr>
      <w:r w:rsidRPr="00386451">
        <w:rPr>
          <w:rFonts w:ascii="Arial" w:hAnsi="Arial" w:cs="Arial"/>
          <w:szCs w:val="24"/>
        </w:rPr>
        <w:t>The City will monitor performance under this IGA during the period of the IGA and during the period of affordability for each project funded under the IGA.  Monitoring will include a review of written records</w:t>
      </w:r>
      <w:r w:rsidR="004949F7">
        <w:rPr>
          <w:rFonts w:ascii="Arial" w:hAnsi="Arial" w:cs="Arial"/>
          <w:szCs w:val="24"/>
        </w:rPr>
        <w:t xml:space="preserve">, </w:t>
      </w:r>
      <w:r w:rsidRPr="00386451">
        <w:rPr>
          <w:rFonts w:ascii="Arial" w:hAnsi="Arial" w:cs="Arial"/>
          <w:szCs w:val="24"/>
        </w:rPr>
        <w:t>reports,</w:t>
      </w:r>
      <w:r w:rsidR="004949F7">
        <w:rPr>
          <w:rFonts w:ascii="Arial" w:hAnsi="Arial" w:cs="Arial"/>
          <w:szCs w:val="24"/>
        </w:rPr>
        <w:t xml:space="preserve"> </w:t>
      </w:r>
      <w:r w:rsidRPr="00386451">
        <w:rPr>
          <w:rFonts w:ascii="Arial" w:hAnsi="Arial" w:cs="Arial"/>
          <w:szCs w:val="24"/>
        </w:rPr>
        <w:t xml:space="preserve">and may include site visits to projects.  Monitoring reports will be prepared and provided to Gresham noting any deficiencies and required corrective actions. </w:t>
      </w:r>
    </w:p>
    <w:p w14:paraId="5051F792" w14:textId="77777777" w:rsidR="00386451" w:rsidRPr="00386451" w:rsidRDefault="00386451" w:rsidP="00386451">
      <w:pPr>
        <w:pStyle w:val="ListParagraph"/>
        <w:tabs>
          <w:tab w:val="left" w:pos="720"/>
          <w:tab w:val="right" w:pos="7200"/>
        </w:tabs>
        <w:spacing w:after="120"/>
        <w:rPr>
          <w:rFonts w:ascii="Arial" w:hAnsi="Arial" w:cs="Arial"/>
          <w:szCs w:val="24"/>
          <w:u w:val="single"/>
        </w:rPr>
      </w:pPr>
    </w:p>
    <w:p w14:paraId="73936BC3" w14:textId="77777777" w:rsidR="00A6769F" w:rsidRDefault="00A6769F" w:rsidP="00B545E1">
      <w:pPr>
        <w:pStyle w:val="ListParagraph"/>
        <w:numPr>
          <w:ilvl w:val="0"/>
          <w:numId w:val="13"/>
        </w:numPr>
        <w:tabs>
          <w:tab w:val="left" w:pos="720"/>
          <w:tab w:val="right" w:pos="7200"/>
        </w:tabs>
        <w:spacing w:after="120"/>
        <w:rPr>
          <w:rFonts w:ascii="Arial" w:hAnsi="Arial" w:cs="Arial"/>
          <w:szCs w:val="24"/>
        </w:rPr>
      </w:pPr>
      <w:r w:rsidRPr="00386451">
        <w:rPr>
          <w:rFonts w:ascii="Arial" w:hAnsi="Arial" w:cs="Arial"/>
          <w:szCs w:val="24"/>
        </w:rPr>
        <w:t>The U.S. Department of Housing and Urban Development may also conduct monitoring or audits of projects funded under this IGA.  Should HUD make any findings that require the re-payment of funds to HUD, Gresham will repay such funds to the City for transmittal to HUD.</w:t>
      </w:r>
    </w:p>
    <w:p w14:paraId="7999FBDE" w14:textId="77777777" w:rsidR="001437F2" w:rsidRPr="00B545E1" w:rsidRDefault="001437F2" w:rsidP="00B545E1">
      <w:pPr>
        <w:pStyle w:val="ListParagraph"/>
        <w:tabs>
          <w:tab w:val="left" w:pos="720"/>
          <w:tab w:val="right" w:pos="7200"/>
        </w:tabs>
        <w:spacing w:after="120"/>
        <w:rPr>
          <w:rFonts w:ascii="Arial" w:hAnsi="Arial" w:cs="Arial"/>
          <w:szCs w:val="24"/>
        </w:rPr>
      </w:pPr>
    </w:p>
    <w:p w14:paraId="2360605F" w14:textId="77777777" w:rsidR="007D77AB" w:rsidRPr="00AA72B2" w:rsidRDefault="00A6769F" w:rsidP="00B545E1">
      <w:pPr>
        <w:pStyle w:val="ListParagraph"/>
        <w:numPr>
          <w:ilvl w:val="0"/>
          <w:numId w:val="13"/>
        </w:numPr>
        <w:tabs>
          <w:tab w:val="left" w:pos="720"/>
          <w:tab w:val="right" w:pos="7200"/>
        </w:tabs>
        <w:spacing w:after="120"/>
        <w:rPr>
          <w:rFonts w:ascii="Arial" w:hAnsi="Arial" w:cs="Arial"/>
          <w:szCs w:val="24"/>
          <w:u w:val="single"/>
        </w:rPr>
      </w:pPr>
      <w:r w:rsidRPr="00B545E1">
        <w:rPr>
          <w:rFonts w:ascii="Arial" w:hAnsi="Arial" w:cs="Arial"/>
          <w:szCs w:val="24"/>
        </w:rPr>
        <w:t>General Contract Provisions</w:t>
      </w:r>
      <w:r w:rsidR="00386451" w:rsidRPr="00B545E1">
        <w:rPr>
          <w:rFonts w:ascii="Arial" w:hAnsi="Arial" w:cs="Arial"/>
          <w:szCs w:val="24"/>
        </w:rPr>
        <w:t>.</w:t>
      </w:r>
      <w:r w:rsidR="00386451">
        <w:rPr>
          <w:rFonts w:ascii="Arial" w:hAnsi="Arial" w:cs="Arial"/>
          <w:szCs w:val="24"/>
        </w:rPr>
        <w:t xml:space="preserve">  </w:t>
      </w:r>
      <w:r w:rsidR="00DC6F27" w:rsidRPr="00386451">
        <w:rPr>
          <w:rFonts w:ascii="Arial" w:hAnsi="Arial" w:cs="Arial"/>
          <w:szCs w:val="24"/>
        </w:rPr>
        <w:t>The General Contract provisions are set forth in Exhibit C.</w:t>
      </w:r>
      <w:bookmarkStart w:id="0" w:name="a"/>
      <w:bookmarkStart w:id="1" w:name="b"/>
      <w:bookmarkEnd w:id="0"/>
      <w:bookmarkEnd w:id="1"/>
    </w:p>
    <w:p w14:paraId="435DE591" w14:textId="77777777" w:rsidR="001437F2" w:rsidRDefault="001437F2" w:rsidP="001437F2">
      <w:pPr>
        <w:ind w:left="2880" w:hanging="2880"/>
        <w:rPr>
          <w:rFonts w:ascii="Arial" w:hAnsi="Arial" w:cs="Arial"/>
          <w:b/>
          <w:sz w:val="24"/>
          <w:szCs w:val="24"/>
        </w:rPr>
      </w:pPr>
    </w:p>
    <w:p w14:paraId="043CC957" w14:textId="77777777" w:rsidR="001437F2" w:rsidRDefault="001437F2" w:rsidP="001437F2">
      <w:pPr>
        <w:ind w:left="2880" w:hanging="2880"/>
        <w:rPr>
          <w:rFonts w:ascii="Arial" w:hAnsi="Arial" w:cs="Arial"/>
          <w:b/>
          <w:sz w:val="24"/>
          <w:szCs w:val="24"/>
        </w:rPr>
      </w:pPr>
    </w:p>
    <w:p w14:paraId="2B04C408" w14:textId="77777777" w:rsidR="001437F2" w:rsidRDefault="001437F2" w:rsidP="001437F2">
      <w:pPr>
        <w:ind w:left="2880" w:hanging="2880"/>
        <w:rPr>
          <w:rFonts w:ascii="Arial" w:hAnsi="Arial" w:cs="Arial"/>
          <w:b/>
          <w:sz w:val="24"/>
          <w:szCs w:val="24"/>
        </w:rPr>
      </w:pPr>
    </w:p>
    <w:p w14:paraId="70E12DF0" w14:textId="77777777" w:rsidR="001437F2" w:rsidRDefault="001437F2" w:rsidP="001437F2">
      <w:pPr>
        <w:ind w:left="2880" w:hanging="2880"/>
        <w:rPr>
          <w:rFonts w:ascii="Arial" w:hAnsi="Arial" w:cs="Arial"/>
          <w:b/>
          <w:sz w:val="24"/>
          <w:szCs w:val="24"/>
        </w:rPr>
      </w:pPr>
    </w:p>
    <w:p w14:paraId="09AC3186" w14:textId="77777777" w:rsidR="001437F2" w:rsidRDefault="001437F2" w:rsidP="001437F2">
      <w:pPr>
        <w:ind w:left="2880" w:hanging="2880"/>
        <w:rPr>
          <w:rFonts w:ascii="Arial" w:hAnsi="Arial" w:cs="Arial"/>
          <w:b/>
          <w:sz w:val="24"/>
          <w:szCs w:val="24"/>
        </w:rPr>
      </w:pPr>
    </w:p>
    <w:p w14:paraId="2DF4935C" w14:textId="77777777" w:rsidR="001437F2" w:rsidRDefault="001437F2" w:rsidP="001437F2">
      <w:pPr>
        <w:ind w:left="2880" w:hanging="2880"/>
        <w:rPr>
          <w:rFonts w:ascii="Arial" w:hAnsi="Arial" w:cs="Arial"/>
          <w:b/>
          <w:sz w:val="24"/>
          <w:szCs w:val="24"/>
        </w:rPr>
      </w:pPr>
      <w:r>
        <w:rPr>
          <w:rFonts w:ascii="Arial" w:hAnsi="Arial" w:cs="Arial"/>
          <w:b/>
          <w:sz w:val="24"/>
          <w:szCs w:val="24"/>
        </w:rPr>
        <w:t>Signatures on next page</w:t>
      </w:r>
    </w:p>
    <w:p w14:paraId="1AC5F44F" w14:textId="77777777" w:rsidR="001437F2" w:rsidRDefault="001437F2" w:rsidP="00386451">
      <w:pPr>
        <w:ind w:left="2880" w:hanging="2880"/>
        <w:jc w:val="left"/>
        <w:rPr>
          <w:rFonts w:ascii="Arial" w:hAnsi="Arial" w:cs="Arial"/>
          <w:b/>
          <w:sz w:val="24"/>
          <w:szCs w:val="24"/>
        </w:rPr>
      </w:pPr>
    </w:p>
    <w:p w14:paraId="373A43E8" w14:textId="77777777" w:rsidR="001437F2" w:rsidRDefault="001437F2">
      <w:pPr>
        <w:rPr>
          <w:rFonts w:ascii="Arial" w:hAnsi="Arial" w:cs="Arial"/>
          <w:b/>
          <w:sz w:val="24"/>
          <w:szCs w:val="24"/>
        </w:rPr>
      </w:pPr>
      <w:r>
        <w:rPr>
          <w:rFonts w:ascii="Arial" w:hAnsi="Arial" w:cs="Arial"/>
          <w:b/>
          <w:sz w:val="24"/>
          <w:szCs w:val="24"/>
        </w:rPr>
        <w:br w:type="page"/>
      </w:r>
    </w:p>
    <w:p w14:paraId="514BE084" w14:textId="77777777" w:rsidR="00DC6F27" w:rsidRPr="00386451" w:rsidRDefault="00DC6F27" w:rsidP="00386451">
      <w:pPr>
        <w:ind w:left="2880" w:hanging="2880"/>
        <w:jc w:val="left"/>
        <w:rPr>
          <w:rFonts w:ascii="Arial" w:hAnsi="Arial" w:cs="Arial"/>
          <w:b/>
          <w:sz w:val="24"/>
          <w:szCs w:val="24"/>
        </w:rPr>
      </w:pPr>
      <w:r w:rsidRPr="00386451">
        <w:rPr>
          <w:rFonts w:ascii="Arial" w:hAnsi="Arial" w:cs="Arial"/>
          <w:b/>
          <w:sz w:val="24"/>
          <w:szCs w:val="24"/>
        </w:rPr>
        <w:lastRenderedPageBreak/>
        <w:t>CITY OF GRESHAM</w:t>
      </w:r>
      <w:r w:rsidRPr="00386451">
        <w:rPr>
          <w:rFonts w:ascii="Arial" w:hAnsi="Arial" w:cs="Arial"/>
          <w:b/>
          <w:sz w:val="24"/>
          <w:szCs w:val="24"/>
        </w:rPr>
        <w:tab/>
      </w:r>
      <w:r w:rsidRPr="00386451">
        <w:rPr>
          <w:rFonts w:ascii="Arial" w:hAnsi="Arial" w:cs="Arial"/>
          <w:b/>
          <w:sz w:val="24"/>
          <w:szCs w:val="24"/>
        </w:rPr>
        <w:tab/>
      </w:r>
      <w:r w:rsidRPr="00386451">
        <w:rPr>
          <w:rFonts w:ascii="Arial" w:hAnsi="Arial" w:cs="Arial"/>
          <w:b/>
          <w:sz w:val="24"/>
          <w:szCs w:val="24"/>
        </w:rPr>
        <w:tab/>
      </w:r>
      <w:r w:rsidRPr="00386451">
        <w:rPr>
          <w:rFonts w:ascii="Arial" w:hAnsi="Arial" w:cs="Arial"/>
          <w:b/>
          <w:sz w:val="24"/>
          <w:szCs w:val="24"/>
        </w:rPr>
        <w:tab/>
        <w:t>CITY OF PORTLAND</w:t>
      </w:r>
    </w:p>
    <w:p w14:paraId="66F0FB7F" w14:textId="77777777" w:rsidR="00DC6F27" w:rsidRPr="009A7A45" w:rsidRDefault="00DC6F27" w:rsidP="00386451">
      <w:pPr>
        <w:ind w:left="2880" w:hanging="2880"/>
        <w:jc w:val="left"/>
        <w:rPr>
          <w:rFonts w:ascii="Arial" w:hAnsi="Arial" w:cs="Arial"/>
          <w:sz w:val="24"/>
          <w:szCs w:val="24"/>
          <w:u w:val="single"/>
        </w:rPr>
      </w:pPr>
    </w:p>
    <w:p w14:paraId="45ED2548" w14:textId="05957E72" w:rsidR="00DC6F27" w:rsidRPr="00386451" w:rsidRDefault="003F3159" w:rsidP="00386451">
      <w:pPr>
        <w:ind w:left="2880" w:hanging="2880"/>
        <w:jc w:val="left"/>
        <w:rPr>
          <w:rFonts w:ascii="Arial" w:hAnsi="Arial" w:cs="Arial"/>
          <w:sz w:val="24"/>
          <w:szCs w:val="24"/>
        </w:rPr>
      </w:pPr>
      <w:r>
        <w:rPr>
          <w:rFonts w:ascii="Arial" w:hAnsi="Arial" w:cs="Arial"/>
          <w:sz w:val="24"/>
          <w:szCs w:val="24"/>
        </w:rPr>
        <w:t>[DO NOT EXECUTE]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 NOT EXECUTE]</w:t>
      </w:r>
    </w:p>
    <w:p w14:paraId="35BC1572" w14:textId="785644B3" w:rsidR="00386451" w:rsidRPr="009A7A45" w:rsidRDefault="009A7A45" w:rsidP="009A7A45">
      <w:pPr>
        <w:jc w:val="lef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B8F8B89" w14:textId="75C64569" w:rsidR="00386451" w:rsidRDefault="00E06EDE" w:rsidP="00386451">
      <w:pPr>
        <w:ind w:left="2880" w:hanging="2880"/>
        <w:jc w:val="left"/>
        <w:rPr>
          <w:rFonts w:ascii="Arial" w:hAnsi="Arial" w:cs="Arial"/>
          <w:sz w:val="24"/>
          <w:szCs w:val="24"/>
        </w:rPr>
      </w:pPr>
      <w:r>
        <w:rPr>
          <w:rFonts w:ascii="Arial" w:hAnsi="Arial" w:cs="Arial"/>
          <w:sz w:val="24"/>
          <w:szCs w:val="24"/>
        </w:rPr>
        <w:t xml:space="preserve">Eric Schmidt, </w:t>
      </w:r>
      <w:r w:rsidR="00AB2FD9">
        <w:rPr>
          <w:rFonts w:ascii="Arial" w:hAnsi="Arial" w:cs="Arial"/>
          <w:sz w:val="24"/>
          <w:szCs w:val="24"/>
        </w:rPr>
        <w:t>Assistant City Manager</w:t>
      </w:r>
      <w:r w:rsidR="007D77AB" w:rsidRPr="00386451">
        <w:rPr>
          <w:rFonts w:ascii="Arial" w:hAnsi="Arial" w:cs="Arial"/>
          <w:sz w:val="24"/>
          <w:szCs w:val="24"/>
        </w:rPr>
        <w:tab/>
      </w:r>
      <w:r w:rsidR="007D77AB" w:rsidRPr="00386451">
        <w:rPr>
          <w:rFonts w:ascii="Arial" w:hAnsi="Arial" w:cs="Arial"/>
          <w:sz w:val="24"/>
          <w:szCs w:val="24"/>
        </w:rPr>
        <w:tab/>
      </w:r>
      <w:r w:rsidR="0063461F">
        <w:rPr>
          <w:rFonts w:ascii="Arial" w:hAnsi="Arial" w:cs="Arial"/>
          <w:sz w:val="24"/>
          <w:szCs w:val="24"/>
        </w:rPr>
        <w:t>Shannon Callahan, PHB Director</w:t>
      </w:r>
      <w:r w:rsidR="00386451">
        <w:rPr>
          <w:rFonts w:ascii="Arial" w:hAnsi="Arial" w:cs="Arial"/>
          <w:sz w:val="24"/>
          <w:szCs w:val="24"/>
        </w:rPr>
        <w:t xml:space="preserve"> </w:t>
      </w:r>
    </w:p>
    <w:p w14:paraId="1CE8C76F" w14:textId="3E3E1F08" w:rsidR="00386451" w:rsidRDefault="00386451" w:rsidP="00386451">
      <w:pPr>
        <w:ind w:left="2880" w:hanging="2880"/>
        <w:jc w:val="left"/>
        <w:rPr>
          <w:rFonts w:ascii="Arial" w:hAnsi="Arial" w:cs="Arial"/>
          <w:sz w:val="24"/>
          <w:szCs w:val="24"/>
        </w:rPr>
      </w:pPr>
    </w:p>
    <w:p w14:paraId="2937BDCD" w14:textId="7EF50AD3" w:rsidR="00386451" w:rsidRPr="009A7A45" w:rsidRDefault="009A7A45" w:rsidP="009A7A45">
      <w:pPr>
        <w:jc w:val="lef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A791818" w14:textId="77777777" w:rsidR="00386451" w:rsidRDefault="00386451" w:rsidP="00386451">
      <w:pPr>
        <w:ind w:left="2880" w:hanging="2880"/>
        <w:jc w:val="left"/>
        <w:rPr>
          <w:rFonts w:ascii="Arial" w:hAnsi="Arial" w:cs="Arial"/>
          <w:sz w:val="24"/>
          <w:szCs w:val="24"/>
        </w:rPr>
      </w:pPr>
      <w:r>
        <w:rPr>
          <w:rFonts w:ascii="Arial" w:hAnsi="Arial" w:cs="Arial"/>
          <w:sz w:val="24"/>
          <w:szCs w:val="24"/>
        </w:rPr>
        <w:t>Date</w:t>
      </w:r>
      <w:r w:rsidRPr="00386451">
        <w:rPr>
          <w:rFonts w:ascii="Arial" w:hAnsi="Arial" w:cs="Arial"/>
          <w:sz w:val="24"/>
          <w:szCs w:val="24"/>
        </w:rPr>
        <w:tab/>
      </w:r>
      <w:r w:rsidRPr="00386451">
        <w:rPr>
          <w:rFonts w:ascii="Arial" w:hAnsi="Arial" w:cs="Arial"/>
          <w:sz w:val="24"/>
          <w:szCs w:val="24"/>
        </w:rPr>
        <w:tab/>
      </w:r>
      <w:r w:rsidRPr="00386451">
        <w:rPr>
          <w:rFonts w:ascii="Arial" w:hAnsi="Arial" w:cs="Arial"/>
          <w:sz w:val="24"/>
          <w:szCs w:val="24"/>
        </w:rPr>
        <w:tab/>
      </w:r>
      <w:r>
        <w:rPr>
          <w:rFonts w:ascii="Arial" w:hAnsi="Arial" w:cs="Arial"/>
          <w:sz w:val="24"/>
          <w:szCs w:val="24"/>
        </w:rPr>
        <w:tab/>
        <w:t>Date</w:t>
      </w:r>
    </w:p>
    <w:p w14:paraId="729E3A84" w14:textId="37A2D8DD" w:rsidR="007D77AB" w:rsidRDefault="007D77AB" w:rsidP="00386451">
      <w:pPr>
        <w:spacing w:after="0"/>
        <w:ind w:left="2880" w:hanging="2880"/>
        <w:jc w:val="left"/>
        <w:rPr>
          <w:rFonts w:ascii="Arial" w:hAnsi="Arial" w:cs="Arial"/>
          <w:b/>
          <w:sz w:val="24"/>
          <w:szCs w:val="24"/>
        </w:rPr>
      </w:pPr>
    </w:p>
    <w:p w14:paraId="7D6661CF" w14:textId="5BC345FF" w:rsidR="00872B29" w:rsidRDefault="00872B29" w:rsidP="00386451">
      <w:pPr>
        <w:spacing w:after="0"/>
        <w:ind w:left="2880" w:hanging="2880"/>
        <w:jc w:val="left"/>
        <w:rPr>
          <w:rFonts w:ascii="Arial" w:hAnsi="Arial" w:cs="Arial"/>
          <w:b/>
          <w:sz w:val="24"/>
          <w:szCs w:val="24"/>
        </w:rPr>
      </w:pPr>
    </w:p>
    <w:p w14:paraId="6D6134F4" w14:textId="77777777" w:rsidR="00872B29" w:rsidRPr="00386451" w:rsidRDefault="00872B29" w:rsidP="00386451">
      <w:pPr>
        <w:spacing w:after="0"/>
        <w:ind w:left="2880" w:hanging="2880"/>
        <w:jc w:val="left"/>
        <w:rPr>
          <w:rFonts w:ascii="Arial" w:hAnsi="Arial" w:cs="Arial"/>
          <w:b/>
          <w:sz w:val="24"/>
          <w:szCs w:val="24"/>
        </w:rPr>
      </w:pPr>
    </w:p>
    <w:p w14:paraId="3B37C613" w14:textId="77777777" w:rsidR="007D77AB" w:rsidRPr="00386451" w:rsidRDefault="007D77AB" w:rsidP="00386451">
      <w:pPr>
        <w:spacing w:after="0"/>
        <w:ind w:left="2880" w:hanging="2880"/>
        <w:jc w:val="left"/>
        <w:rPr>
          <w:rFonts w:ascii="Arial" w:hAnsi="Arial" w:cs="Arial"/>
          <w:b/>
          <w:sz w:val="24"/>
          <w:szCs w:val="24"/>
        </w:rPr>
      </w:pPr>
    </w:p>
    <w:p w14:paraId="65B6A4EF" w14:textId="77777777" w:rsidR="007D77AB" w:rsidRDefault="007D77AB" w:rsidP="00386451">
      <w:pPr>
        <w:spacing w:after="0"/>
        <w:ind w:left="2880" w:hanging="2880"/>
        <w:jc w:val="left"/>
        <w:rPr>
          <w:rFonts w:ascii="Arial" w:hAnsi="Arial" w:cs="Arial"/>
          <w:b/>
          <w:sz w:val="24"/>
          <w:szCs w:val="24"/>
        </w:rPr>
      </w:pPr>
      <w:r w:rsidRPr="00386451">
        <w:rPr>
          <w:rFonts w:ascii="Arial" w:hAnsi="Arial" w:cs="Arial"/>
          <w:b/>
          <w:sz w:val="24"/>
          <w:szCs w:val="24"/>
        </w:rPr>
        <w:t>APPROVED AS TO FORM:</w:t>
      </w:r>
      <w:r w:rsidRPr="00386451">
        <w:rPr>
          <w:rFonts w:ascii="Arial" w:hAnsi="Arial" w:cs="Arial"/>
          <w:b/>
          <w:sz w:val="24"/>
          <w:szCs w:val="24"/>
        </w:rPr>
        <w:tab/>
      </w:r>
      <w:r w:rsidRPr="00386451">
        <w:rPr>
          <w:rFonts w:ascii="Arial" w:hAnsi="Arial" w:cs="Arial"/>
          <w:b/>
          <w:sz w:val="24"/>
          <w:szCs w:val="24"/>
        </w:rPr>
        <w:tab/>
      </w:r>
      <w:r w:rsidRPr="00386451">
        <w:rPr>
          <w:rFonts w:ascii="Arial" w:hAnsi="Arial" w:cs="Arial"/>
          <w:b/>
          <w:sz w:val="24"/>
          <w:szCs w:val="24"/>
        </w:rPr>
        <w:tab/>
        <w:t>APPROVED AS TO FORM:</w:t>
      </w:r>
    </w:p>
    <w:p w14:paraId="2AE26374" w14:textId="77777777" w:rsidR="00386451" w:rsidRPr="00386451" w:rsidRDefault="00386451" w:rsidP="00386451">
      <w:pPr>
        <w:spacing w:after="0"/>
        <w:ind w:left="2880" w:hanging="2880"/>
        <w:jc w:val="left"/>
        <w:rPr>
          <w:rFonts w:ascii="Arial" w:hAnsi="Arial" w:cs="Arial"/>
          <w:b/>
          <w:sz w:val="24"/>
          <w:szCs w:val="24"/>
        </w:rPr>
      </w:pPr>
    </w:p>
    <w:p w14:paraId="2B98A35C" w14:textId="77777777" w:rsidR="00B545E1" w:rsidRDefault="00B545E1" w:rsidP="009A7A45">
      <w:pPr>
        <w:spacing w:after="0"/>
        <w:jc w:val="left"/>
        <w:rPr>
          <w:rFonts w:ascii="Arial" w:hAnsi="Arial" w:cs="Arial"/>
          <w:sz w:val="24"/>
          <w:szCs w:val="24"/>
          <w:u w:val="single"/>
        </w:rPr>
      </w:pPr>
    </w:p>
    <w:p w14:paraId="6FA693B3" w14:textId="771A4A68" w:rsidR="00B545E1" w:rsidRPr="003F3159" w:rsidRDefault="003F3159" w:rsidP="009A7A45">
      <w:pPr>
        <w:spacing w:after="0"/>
        <w:jc w:val="left"/>
        <w:rPr>
          <w:rFonts w:ascii="Arial" w:hAnsi="Arial" w:cs="Arial"/>
          <w:sz w:val="24"/>
          <w:szCs w:val="24"/>
        </w:rPr>
      </w:pPr>
      <w:r>
        <w:rPr>
          <w:rFonts w:ascii="Arial" w:hAnsi="Arial" w:cs="Arial"/>
          <w:sz w:val="24"/>
          <w:szCs w:val="24"/>
        </w:rPr>
        <w:t>[DO NOT EXECUTE]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 NOT EXECUTE]</w:t>
      </w:r>
    </w:p>
    <w:p w14:paraId="1D9E5AAB" w14:textId="19BFD6F7" w:rsidR="00386451" w:rsidRPr="009A7A45" w:rsidRDefault="009A7A45" w:rsidP="009A7A45">
      <w:pPr>
        <w:spacing w:after="0"/>
        <w:jc w:val="lef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F09187A" w14:textId="63EADBF4" w:rsidR="00386451" w:rsidRDefault="00386451" w:rsidP="00386451">
      <w:pPr>
        <w:spacing w:after="0"/>
        <w:ind w:left="2880" w:hanging="2880"/>
        <w:jc w:val="left"/>
        <w:rPr>
          <w:rFonts w:ascii="Arial" w:hAnsi="Arial" w:cs="Arial"/>
          <w:sz w:val="24"/>
          <w:szCs w:val="24"/>
        </w:rPr>
      </w:pPr>
      <w:r>
        <w:rPr>
          <w:rFonts w:ascii="Arial" w:hAnsi="Arial" w:cs="Arial"/>
          <w:sz w:val="24"/>
          <w:szCs w:val="24"/>
        </w:rPr>
        <w:t>City Attorney or Designee</w:t>
      </w:r>
      <w:r w:rsidRPr="00386451">
        <w:rPr>
          <w:rFonts w:ascii="Arial" w:hAnsi="Arial" w:cs="Arial"/>
          <w:sz w:val="24"/>
          <w:szCs w:val="24"/>
        </w:rPr>
        <w:tab/>
      </w:r>
      <w:r w:rsidRPr="00386451">
        <w:rPr>
          <w:rFonts w:ascii="Arial" w:hAnsi="Arial" w:cs="Arial"/>
          <w:sz w:val="24"/>
          <w:szCs w:val="24"/>
        </w:rPr>
        <w:tab/>
      </w:r>
      <w:r w:rsidRPr="00386451">
        <w:rPr>
          <w:rFonts w:ascii="Arial" w:hAnsi="Arial" w:cs="Arial"/>
          <w:sz w:val="24"/>
          <w:szCs w:val="24"/>
        </w:rPr>
        <w:tab/>
      </w:r>
      <w:r>
        <w:rPr>
          <w:rFonts w:ascii="Arial" w:hAnsi="Arial" w:cs="Arial"/>
          <w:sz w:val="24"/>
          <w:szCs w:val="24"/>
        </w:rPr>
        <w:tab/>
      </w:r>
      <w:r w:rsidR="003F3159">
        <w:rPr>
          <w:rFonts w:ascii="Arial" w:hAnsi="Arial" w:cs="Arial"/>
          <w:sz w:val="24"/>
          <w:szCs w:val="24"/>
        </w:rPr>
        <w:t>Office of the</w:t>
      </w:r>
      <w:r>
        <w:rPr>
          <w:rFonts w:ascii="Arial" w:hAnsi="Arial" w:cs="Arial"/>
          <w:sz w:val="24"/>
          <w:szCs w:val="24"/>
        </w:rPr>
        <w:t xml:space="preserve"> City Attorney</w:t>
      </w:r>
    </w:p>
    <w:p w14:paraId="7AFCEFA9" w14:textId="3E0C17CE" w:rsidR="00DE315E" w:rsidRDefault="00DE315E" w:rsidP="00386451">
      <w:pPr>
        <w:spacing w:after="0"/>
        <w:ind w:left="2880" w:hanging="2880"/>
        <w:jc w:val="left"/>
        <w:rPr>
          <w:rFonts w:ascii="Arial" w:hAnsi="Arial" w:cs="Arial"/>
          <w:sz w:val="24"/>
          <w:szCs w:val="24"/>
        </w:rPr>
      </w:pPr>
    </w:p>
    <w:p w14:paraId="70FA1013" w14:textId="4539755E" w:rsidR="009A7A45" w:rsidRDefault="009A7A45" w:rsidP="00386451">
      <w:pPr>
        <w:spacing w:after="0"/>
        <w:ind w:left="2880" w:hanging="2880"/>
        <w:jc w:val="left"/>
        <w:rPr>
          <w:rFonts w:ascii="Arial" w:hAnsi="Arial" w:cs="Arial"/>
          <w:sz w:val="24"/>
          <w:szCs w:val="24"/>
        </w:rPr>
      </w:pPr>
    </w:p>
    <w:p w14:paraId="48587363" w14:textId="77777777" w:rsidR="00872B29" w:rsidRDefault="00872B29" w:rsidP="00386451">
      <w:pPr>
        <w:spacing w:after="0"/>
        <w:ind w:left="2880" w:hanging="2880"/>
        <w:jc w:val="left"/>
        <w:rPr>
          <w:rFonts w:ascii="Arial" w:hAnsi="Arial" w:cs="Arial"/>
          <w:sz w:val="24"/>
          <w:szCs w:val="24"/>
        </w:rPr>
      </w:pPr>
    </w:p>
    <w:p w14:paraId="54832373" w14:textId="6B4F0D71" w:rsidR="00386451" w:rsidRPr="009A7A45" w:rsidRDefault="009A7A45" w:rsidP="009A7A45">
      <w:pPr>
        <w:spacing w:after="0"/>
        <w:jc w:val="lef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5F3D2C3" w14:textId="77777777" w:rsidR="00386451" w:rsidRDefault="00386451" w:rsidP="00386451">
      <w:pPr>
        <w:spacing w:after="0"/>
        <w:ind w:left="2880" w:hanging="2880"/>
        <w:jc w:val="left"/>
        <w:rPr>
          <w:rFonts w:ascii="Arial" w:hAnsi="Arial" w:cs="Arial"/>
          <w:sz w:val="24"/>
          <w:szCs w:val="24"/>
        </w:rPr>
      </w:pPr>
      <w:r>
        <w:rPr>
          <w:rFonts w:ascii="Arial" w:hAnsi="Arial" w:cs="Arial"/>
          <w:sz w:val="24"/>
          <w:szCs w:val="24"/>
        </w:rPr>
        <w:t>Date</w:t>
      </w:r>
      <w:r w:rsidRPr="00386451">
        <w:rPr>
          <w:rFonts w:ascii="Arial" w:hAnsi="Arial" w:cs="Arial"/>
          <w:sz w:val="24"/>
          <w:szCs w:val="24"/>
        </w:rPr>
        <w:tab/>
      </w:r>
      <w:r w:rsidRPr="00386451">
        <w:rPr>
          <w:rFonts w:ascii="Arial" w:hAnsi="Arial" w:cs="Arial"/>
          <w:sz w:val="24"/>
          <w:szCs w:val="24"/>
        </w:rPr>
        <w:tab/>
      </w:r>
      <w:r w:rsidRPr="00386451">
        <w:rPr>
          <w:rFonts w:ascii="Arial" w:hAnsi="Arial" w:cs="Arial"/>
          <w:sz w:val="24"/>
          <w:szCs w:val="24"/>
        </w:rPr>
        <w:tab/>
      </w:r>
      <w:r>
        <w:rPr>
          <w:rFonts w:ascii="Arial" w:hAnsi="Arial" w:cs="Arial"/>
          <w:sz w:val="24"/>
          <w:szCs w:val="24"/>
        </w:rPr>
        <w:tab/>
        <w:t>Date</w:t>
      </w:r>
    </w:p>
    <w:p w14:paraId="35E95077" w14:textId="4447ABBA" w:rsidR="007D77AB" w:rsidRDefault="007D77AB" w:rsidP="00386451">
      <w:pPr>
        <w:tabs>
          <w:tab w:val="left" w:pos="-1080"/>
          <w:tab w:val="left" w:pos="-720"/>
          <w:tab w:val="left" w:pos="0"/>
          <w:tab w:val="left" w:pos="720"/>
          <w:tab w:val="left" w:pos="1440"/>
          <w:tab w:val="left" w:pos="2160"/>
          <w:tab w:val="left" w:pos="2880"/>
          <w:tab w:val="left" w:pos="3600"/>
          <w:tab w:val="left" w:pos="4320"/>
          <w:tab w:val="left" w:pos="4680"/>
          <w:tab w:val="left" w:pos="5040"/>
          <w:tab w:val="left" w:pos="6480"/>
        </w:tabs>
        <w:spacing w:after="0"/>
        <w:jc w:val="left"/>
        <w:rPr>
          <w:rFonts w:ascii="Arial" w:hAnsi="Arial" w:cs="Arial"/>
          <w:sz w:val="24"/>
          <w:szCs w:val="24"/>
        </w:rPr>
      </w:pPr>
    </w:p>
    <w:p w14:paraId="0C93DE1B" w14:textId="647D2F4A" w:rsidR="009A7A45" w:rsidRDefault="009A7A45" w:rsidP="00386451">
      <w:pPr>
        <w:tabs>
          <w:tab w:val="left" w:pos="-1080"/>
          <w:tab w:val="left" w:pos="-720"/>
          <w:tab w:val="left" w:pos="0"/>
          <w:tab w:val="left" w:pos="720"/>
          <w:tab w:val="left" w:pos="1440"/>
          <w:tab w:val="left" w:pos="2160"/>
          <w:tab w:val="left" w:pos="2880"/>
          <w:tab w:val="left" w:pos="3600"/>
          <w:tab w:val="left" w:pos="4320"/>
          <w:tab w:val="left" w:pos="4680"/>
          <w:tab w:val="left" w:pos="5040"/>
          <w:tab w:val="left" w:pos="6480"/>
        </w:tabs>
        <w:spacing w:after="0"/>
        <w:jc w:val="left"/>
        <w:rPr>
          <w:rFonts w:ascii="Arial" w:hAnsi="Arial" w:cs="Arial"/>
          <w:sz w:val="24"/>
          <w:szCs w:val="24"/>
        </w:rPr>
      </w:pPr>
    </w:p>
    <w:p w14:paraId="318C0E10" w14:textId="179D0053" w:rsidR="00B545E1" w:rsidRPr="00386451" w:rsidRDefault="003F3159" w:rsidP="00386451">
      <w:pPr>
        <w:tabs>
          <w:tab w:val="left" w:pos="-1080"/>
          <w:tab w:val="left" w:pos="-720"/>
          <w:tab w:val="left" w:pos="0"/>
          <w:tab w:val="left" w:pos="720"/>
          <w:tab w:val="left" w:pos="1440"/>
          <w:tab w:val="left" w:pos="2160"/>
          <w:tab w:val="left" w:pos="2880"/>
          <w:tab w:val="left" w:pos="3600"/>
          <w:tab w:val="left" w:pos="4320"/>
          <w:tab w:val="left" w:pos="4680"/>
          <w:tab w:val="left" w:pos="5040"/>
          <w:tab w:val="left" w:pos="6480"/>
        </w:tabs>
        <w:spacing w:after="0"/>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 NOT EXECUTE]</w:t>
      </w:r>
    </w:p>
    <w:p w14:paraId="18BA6A99" w14:textId="42D9F155" w:rsidR="009A7A45" w:rsidRDefault="009A7A45" w:rsidP="009A7A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9360"/>
        </w:tabs>
        <w:spacing w:after="0"/>
        <w:ind w:left="5040"/>
        <w:jc w:val="left"/>
        <w:rPr>
          <w:rFonts w:ascii="Arial" w:hAnsi="Arial" w:cs="Arial"/>
          <w:sz w:val="24"/>
          <w:szCs w:val="24"/>
          <w:u w:val="single"/>
        </w:rPr>
      </w:pPr>
      <w:r>
        <w:rPr>
          <w:rFonts w:ascii="Arial" w:hAnsi="Arial" w:cs="Arial"/>
          <w:sz w:val="24"/>
          <w:szCs w:val="24"/>
          <w:u w:val="single"/>
        </w:rPr>
        <w:tab/>
      </w:r>
    </w:p>
    <w:p w14:paraId="48775B50" w14:textId="6D956E6E" w:rsidR="007D77AB" w:rsidRDefault="0063461F" w:rsidP="009A7A45">
      <w:pPr>
        <w:tabs>
          <w:tab w:val="left" w:pos="-1080"/>
          <w:tab w:val="left" w:pos="-720"/>
          <w:tab w:val="left" w:pos="0"/>
          <w:tab w:val="left" w:pos="1440"/>
          <w:tab w:val="left" w:pos="2160"/>
          <w:tab w:val="left" w:pos="2880"/>
          <w:tab w:val="left" w:pos="3600"/>
          <w:tab w:val="left" w:pos="4320"/>
          <w:tab w:val="left" w:pos="4680"/>
          <w:tab w:val="left" w:pos="5040"/>
          <w:tab w:val="left" w:pos="6480"/>
          <w:tab w:val="left" w:pos="8640"/>
        </w:tabs>
        <w:spacing w:after="0"/>
        <w:ind w:left="5040"/>
        <w:jc w:val="left"/>
        <w:rPr>
          <w:rFonts w:ascii="Arial" w:hAnsi="Arial" w:cs="Arial"/>
          <w:sz w:val="24"/>
          <w:szCs w:val="24"/>
        </w:rPr>
      </w:pPr>
      <w:r w:rsidRPr="009A7A45">
        <w:rPr>
          <w:rFonts w:ascii="Arial" w:hAnsi="Arial" w:cs="Arial"/>
          <w:sz w:val="24"/>
          <w:szCs w:val="24"/>
        </w:rPr>
        <w:t>Mary</w:t>
      </w:r>
      <w:r>
        <w:rPr>
          <w:rFonts w:ascii="Arial" w:hAnsi="Arial" w:cs="Arial"/>
          <w:sz w:val="24"/>
          <w:szCs w:val="24"/>
        </w:rPr>
        <w:t xml:space="preserve"> Hull Caballero</w:t>
      </w:r>
      <w:r w:rsidR="00386451">
        <w:rPr>
          <w:rFonts w:ascii="Arial" w:hAnsi="Arial" w:cs="Arial"/>
          <w:sz w:val="24"/>
          <w:szCs w:val="24"/>
        </w:rPr>
        <w:t xml:space="preserve">, </w:t>
      </w:r>
      <w:r w:rsidR="0043271F">
        <w:rPr>
          <w:rFonts w:ascii="Arial" w:hAnsi="Arial" w:cs="Arial"/>
          <w:sz w:val="24"/>
          <w:szCs w:val="24"/>
        </w:rPr>
        <w:t xml:space="preserve">Portland City </w:t>
      </w:r>
      <w:r w:rsidR="009A7A45">
        <w:rPr>
          <w:rFonts w:ascii="Arial" w:hAnsi="Arial" w:cs="Arial"/>
          <w:sz w:val="24"/>
          <w:szCs w:val="24"/>
        </w:rPr>
        <w:t>A</w:t>
      </w:r>
      <w:r w:rsidR="007D77AB" w:rsidRPr="00386451">
        <w:rPr>
          <w:rFonts w:ascii="Arial" w:hAnsi="Arial" w:cs="Arial"/>
          <w:sz w:val="24"/>
          <w:szCs w:val="24"/>
        </w:rPr>
        <w:t>uditor</w:t>
      </w:r>
    </w:p>
    <w:p w14:paraId="25F6E9F3" w14:textId="044F6773" w:rsidR="00DE315E" w:rsidRDefault="00DE315E" w:rsidP="00386451">
      <w:pPr>
        <w:tabs>
          <w:tab w:val="left" w:pos="-1080"/>
          <w:tab w:val="left" w:pos="-720"/>
          <w:tab w:val="left" w:pos="0"/>
          <w:tab w:val="left" w:pos="720"/>
          <w:tab w:val="left" w:pos="1440"/>
          <w:tab w:val="left" w:pos="2160"/>
          <w:tab w:val="left" w:pos="2880"/>
          <w:tab w:val="left" w:pos="3600"/>
          <w:tab w:val="left" w:pos="4320"/>
          <w:tab w:val="left" w:pos="4680"/>
          <w:tab w:val="left" w:pos="5040"/>
          <w:tab w:val="left" w:pos="6480"/>
        </w:tabs>
        <w:spacing w:after="0"/>
        <w:ind w:left="5040"/>
        <w:jc w:val="left"/>
        <w:rPr>
          <w:rFonts w:ascii="Arial" w:hAnsi="Arial" w:cs="Arial"/>
          <w:sz w:val="24"/>
          <w:szCs w:val="24"/>
        </w:rPr>
      </w:pPr>
    </w:p>
    <w:p w14:paraId="75404904" w14:textId="77777777" w:rsidR="00872B29" w:rsidRDefault="00872B29" w:rsidP="00386451">
      <w:pPr>
        <w:tabs>
          <w:tab w:val="left" w:pos="-1080"/>
          <w:tab w:val="left" w:pos="-720"/>
          <w:tab w:val="left" w:pos="0"/>
          <w:tab w:val="left" w:pos="720"/>
          <w:tab w:val="left" w:pos="1440"/>
          <w:tab w:val="left" w:pos="2160"/>
          <w:tab w:val="left" w:pos="2880"/>
          <w:tab w:val="left" w:pos="3600"/>
          <w:tab w:val="left" w:pos="4320"/>
          <w:tab w:val="left" w:pos="4680"/>
          <w:tab w:val="left" w:pos="5040"/>
          <w:tab w:val="left" w:pos="6480"/>
        </w:tabs>
        <w:spacing w:after="0"/>
        <w:ind w:left="5040"/>
        <w:jc w:val="left"/>
        <w:rPr>
          <w:rFonts w:ascii="Arial" w:hAnsi="Arial" w:cs="Arial"/>
          <w:sz w:val="24"/>
          <w:szCs w:val="24"/>
        </w:rPr>
      </w:pPr>
    </w:p>
    <w:p w14:paraId="0C79D99C" w14:textId="62D125A8" w:rsidR="00386451" w:rsidRPr="009A7A45" w:rsidRDefault="009A7A45" w:rsidP="00386451">
      <w:pPr>
        <w:tabs>
          <w:tab w:val="left" w:pos="-1080"/>
          <w:tab w:val="left" w:pos="-720"/>
          <w:tab w:val="left" w:pos="0"/>
          <w:tab w:val="left" w:pos="720"/>
          <w:tab w:val="left" w:pos="1440"/>
          <w:tab w:val="left" w:pos="2160"/>
          <w:tab w:val="left" w:pos="2880"/>
          <w:tab w:val="left" w:pos="3600"/>
          <w:tab w:val="left" w:pos="4320"/>
          <w:tab w:val="left" w:pos="4680"/>
          <w:tab w:val="left" w:pos="5040"/>
          <w:tab w:val="left" w:pos="6480"/>
        </w:tabs>
        <w:spacing w:after="0"/>
        <w:ind w:left="5040"/>
        <w:jc w:val="lef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99DF057" w14:textId="77777777" w:rsidR="00386451" w:rsidRPr="00386451" w:rsidRDefault="00386451" w:rsidP="00386451">
      <w:pPr>
        <w:tabs>
          <w:tab w:val="left" w:pos="-1080"/>
          <w:tab w:val="left" w:pos="-720"/>
          <w:tab w:val="left" w:pos="0"/>
          <w:tab w:val="left" w:pos="720"/>
          <w:tab w:val="left" w:pos="1440"/>
          <w:tab w:val="left" w:pos="2160"/>
          <w:tab w:val="left" w:pos="2880"/>
          <w:tab w:val="left" w:pos="3600"/>
          <w:tab w:val="left" w:pos="4320"/>
          <w:tab w:val="left" w:pos="4680"/>
          <w:tab w:val="left" w:pos="5040"/>
          <w:tab w:val="left" w:pos="6480"/>
        </w:tabs>
        <w:spacing w:after="0"/>
        <w:ind w:left="5040"/>
        <w:jc w:val="left"/>
        <w:rPr>
          <w:rFonts w:ascii="Arial" w:hAnsi="Arial" w:cs="Arial"/>
          <w:sz w:val="24"/>
          <w:szCs w:val="24"/>
        </w:rPr>
      </w:pPr>
      <w:r>
        <w:rPr>
          <w:rFonts w:ascii="Arial" w:hAnsi="Arial" w:cs="Arial"/>
          <w:sz w:val="24"/>
          <w:szCs w:val="24"/>
        </w:rPr>
        <w:t>Date</w:t>
      </w:r>
    </w:p>
    <w:p w14:paraId="7B1A1C0F" w14:textId="77777777" w:rsidR="007D77AB" w:rsidRPr="00240322" w:rsidRDefault="007D77AB" w:rsidP="007D77AB">
      <w:pPr>
        <w:rPr>
          <w:rFonts w:ascii="Arial" w:hAnsi="Arial" w:cs="Arial"/>
          <w:sz w:val="24"/>
          <w:szCs w:val="24"/>
        </w:rPr>
      </w:pPr>
      <w:r w:rsidRPr="00240322">
        <w:rPr>
          <w:rFonts w:ascii="Arial" w:hAnsi="Arial" w:cs="Arial"/>
          <w:sz w:val="24"/>
          <w:szCs w:val="24"/>
        </w:rPr>
        <w:br w:type="page"/>
      </w:r>
    </w:p>
    <w:tbl>
      <w:tblPr>
        <w:tblW w:w="7932" w:type="dxa"/>
        <w:tblLook w:val="04A0" w:firstRow="1" w:lastRow="0" w:firstColumn="1" w:lastColumn="0" w:noHBand="0" w:noVBand="1"/>
      </w:tblPr>
      <w:tblGrid>
        <w:gridCol w:w="6271"/>
        <w:gridCol w:w="1439"/>
        <w:gridCol w:w="222"/>
      </w:tblGrid>
      <w:tr w:rsidR="00E06EDE" w:rsidRPr="00E06EDE" w14:paraId="03588CE3" w14:textId="77777777" w:rsidTr="00857296">
        <w:trPr>
          <w:trHeight w:val="300"/>
        </w:trPr>
        <w:tc>
          <w:tcPr>
            <w:tcW w:w="7932" w:type="dxa"/>
            <w:gridSpan w:val="3"/>
            <w:tcBorders>
              <w:top w:val="nil"/>
              <w:left w:val="nil"/>
              <w:bottom w:val="nil"/>
              <w:right w:val="nil"/>
            </w:tcBorders>
            <w:shd w:val="clear" w:color="auto" w:fill="auto"/>
            <w:noWrap/>
            <w:vAlign w:val="bottom"/>
            <w:hideMark/>
          </w:tcPr>
          <w:p w14:paraId="33B35F37" w14:textId="77777777" w:rsidR="00E06EDE" w:rsidRPr="00E06EDE" w:rsidRDefault="00E06EDE" w:rsidP="00E06EDE">
            <w:pPr>
              <w:spacing w:after="0"/>
              <w:rPr>
                <w:rFonts w:ascii="Calibri" w:eastAsia="Times New Roman" w:hAnsi="Calibri" w:cs="Times New Roman"/>
                <w:b/>
                <w:bCs/>
                <w:color w:val="000000"/>
              </w:rPr>
            </w:pPr>
            <w:r w:rsidRPr="00E06EDE">
              <w:rPr>
                <w:rFonts w:ascii="Calibri" w:eastAsia="Times New Roman" w:hAnsi="Calibri" w:cs="Times New Roman"/>
                <w:b/>
                <w:bCs/>
                <w:color w:val="000000"/>
              </w:rPr>
              <w:lastRenderedPageBreak/>
              <w:t>EXHIBIT A</w:t>
            </w:r>
          </w:p>
        </w:tc>
      </w:tr>
      <w:tr w:rsidR="00E06EDE" w:rsidRPr="00E06EDE" w14:paraId="5E383617" w14:textId="77777777" w:rsidTr="00857296">
        <w:trPr>
          <w:trHeight w:val="300"/>
        </w:trPr>
        <w:tc>
          <w:tcPr>
            <w:tcW w:w="7932" w:type="dxa"/>
            <w:gridSpan w:val="3"/>
            <w:tcBorders>
              <w:top w:val="nil"/>
              <w:left w:val="nil"/>
              <w:bottom w:val="nil"/>
              <w:right w:val="nil"/>
            </w:tcBorders>
            <w:shd w:val="clear" w:color="auto" w:fill="auto"/>
            <w:noWrap/>
            <w:vAlign w:val="bottom"/>
            <w:hideMark/>
          </w:tcPr>
          <w:p w14:paraId="77219403" w14:textId="0B100BDB" w:rsidR="00E06EDE" w:rsidRPr="00E06EDE" w:rsidRDefault="00E06EDE" w:rsidP="00E06EDE">
            <w:pPr>
              <w:spacing w:after="0"/>
              <w:rPr>
                <w:rFonts w:ascii="Calibri" w:eastAsia="Times New Roman" w:hAnsi="Calibri" w:cs="Times New Roman"/>
                <w:b/>
                <w:bCs/>
                <w:color w:val="000000"/>
              </w:rPr>
            </w:pPr>
            <w:r w:rsidRPr="00E06EDE">
              <w:rPr>
                <w:rFonts w:ascii="Calibri" w:eastAsia="Times New Roman" w:hAnsi="Calibri" w:cs="Times New Roman"/>
                <w:b/>
                <w:bCs/>
                <w:color w:val="000000"/>
              </w:rPr>
              <w:t xml:space="preserve">City of Gresham FY </w:t>
            </w:r>
            <w:r w:rsidR="00501555">
              <w:rPr>
                <w:rFonts w:ascii="Calibri" w:eastAsia="Times New Roman" w:hAnsi="Calibri" w:cs="Times New Roman"/>
                <w:b/>
                <w:bCs/>
                <w:color w:val="000000"/>
              </w:rPr>
              <w:t>2</w:t>
            </w:r>
            <w:r w:rsidR="004351BF">
              <w:rPr>
                <w:rFonts w:ascii="Calibri" w:eastAsia="Times New Roman" w:hAnsi="Calibri" w:cs="Times New Roman"/>
                <w:b/>
                <w:bCs/>
                <w:color w:val="000000"/>
              </w:rPr>
              <w:t>1</w:t>
            </w:r>
            <w:r>
              <w:rPr>
                <w:rFonts w:ascii="Calibri" w:eastAsia="Times New Roman" w:hAnsi="Calibri" w:cs="Times New Roman"/>
                <w:b/>
                <w:bCs/>
                <w:color w:val="000000"/>
              </w:rPr>
              <w:t>-2</w:t>
            </w:r>
            <w:r w:rsidR="004351BF">
              <w:rPr>
                <w:rFonts w:ascii="Calibri" w:eastAsia="Times New Roman" w:hAnsi="Calibri" w:cs="Times New Roman"/>
                <w:b/>
                <w:bCs/>
                <w:color w:val="000000"/>
              </w:rPr>
              <w:t>2</w:t>
            </w:r>
            <w:r w:rsidRPr="00E06EDE">
              <w:rPr>
                <w:rFonts w:ascii="Calibri" w:eastAsia="Times New Roman" w:hAnsi="Calibri" w:cs="Times New Roman"/>
                <w:b/>
                <w:bCs/>
                <w:color w:val="000000"/>
              </w:rPr>
              <w:t xml:space="preserve"> HOME IGA</w:t>
            </w:r>
          </w:p>
        </w:tc>
      </w:tr>
      <w:tr w:rsidR="00E06EDE" w:rsidRPr="00E06EDE" w14:paraId="245B9762" w14:textId="77777777" w:rsidTr="00857296">
        <w:trPr>
          <w:trHeight w:val="300"/>
        </w:trPr>
        <w:tc>
          <w:tcPr>
            <w:tcW w:w="7932" w:type="dxa"/>
            <w:gridSpan w:val="3"/>
            <w:tcBorders>
              <w:top w:val="nil"/>
              <w:left w:val="nil"/>
              <w:bottom w:val="nil"/>
              <w:right w:val="nil"/>
            </w:tcBorders>
            <w:shd w:val="clear" w:color="auto" w:fill="auto"/>
            <w:noWrap/>
            <w:vAlign w:val="bottom"/>
            <w:hideMark/>
          </w:tcPr>
          <w:p w14:paraId="2D800C10" w14:textId="77777777" w:rsidR="00E06EDE" w:rsidRPr="00E06EDE" w:rsidRDefault="00E06EDE" w:rsidP="00E06EDE">
            <w:pPr>
              <w:spacing w:after="0"/>
              <w:rPr>
                <w:rFonts w:ascii="Calibri" w:eastAsia="Times New Roman" w:hAnsi="Calibri" w:cs="Times New Roman"/>
                <w:b/>
                <w:bCs/>
                <w:color w:val="000000"/>
              </w:rPr>
            </w:pPr>
            <w:r w:rsidRPr="00E06EDE">
              <w:rPr>
                <w:rFonts w:ascii="Calibri" w:eastAsia="Times New Roman" w:hAnsi="Calibri" w:cs="Times New Roman"/>
                <w:b/>
                <w:bCs/>
                <w:color w:val="000000"/>
              </w:rPr>
              <w:t>BUDGET</w:t>
            </w:r>
          </w:p>
        </w:tc>
      </w:tr>
      <w:tr w:rsidR="00E06EDE" w:rsidRPr="00E06EDE" w14:paraId="214E9F02" w14:textId="77777777" w:rsidTr="00857296">
        <w:trPr>
          <w:trHeight w:val="300"/>
        </w:trPr>
        <w:tc>
          <w:tcPr>
            <w:tcW w:w="6271" w:type="dxa"/>
            <w:tcBorders>
              <w:top w:val="nil"/>
              <w:left w:val="nil"/>
              <w:bottom w:val="nil"/>
              <w:right w:val="nil"/>
            </w:tcBorders>
            <w:shd w:val="clear" w:color="auto" w:fill="auto"/>
            <w:noWrap/>
            <w:vAlign w:val="bottom"/>
            <w:hideMark/>
          </w:tcPr>
          <w:p w14:paraId="68CB4EB6" w14:textId="77777777" w:rsidR="00E06EDE" w:rsidRPr="00E06EDE" w:rsidRDefault="00E06EDE" w:rsidP="00E06EDE">
            <w:pPr>
              <w:spacing w:after="0"/>
              <w:rPr>
                <w:rFonts w:ascii="Calibri" w:eastAsia="Times New Roman" w:hAnsi="Calibri" w:cs="Times New Roman"/>
                <w:b/>
                <w:bCs/>
                <w:color w:val="000000"/>
              </w:rPr>
            </w:pPr>
          </w:p>
        </w:tc>
        <w:tc>
          <w:tcPr>
            <w:tcW w:w="1439" w:type="dxa"/>
            <w:tcBorders>
              <w:top w:val="nil"/>
              <w:left w:val="nil"/>
              <w:bottom w:val="nil"/>
              <w:right w:val="nil"/>
            </w:tcBorders>
            <w:shd w:val="clear" w:color="auto" w:fill="auto"/>
            <w:noWrap/>
            <w:vAlign w:val="bottom"/>
            <w:hideMark/>
          </w:tcPr>
          <w:p w14:paraId="5A977A3A" w14:textId="77777777" w:rsidR="00E06EDE" w:rsidRPr="00E06EDE" w:rsidRDefault="00E06EDE" w:rsidP="00E06EDE">
            <w:pPr>
              <w:spacing w:after="0"/>
              <w:jc w:val="lef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038E24F" w14:textId="77777777" w:rsidR="00E06EDE" w:rsidRPr="00E06EDE" w:rsidRDefault="00E06EDE" w:rsidP="00E06EDE">
            <w:pPr>
              <w:spacing w:after="0"/>
              <w:jc w:val="left"/>
              <w:rPr>
                <w:rFonts w:ascii="Times New Roman" w:eastAsia="Times New Roman" w:hAnsi="Times New Roman" w:cs="Times New Roman"/>
                <w:sz w:val="20"/>
                <w:szCs w:val="20"/>
              </w:rPr>
            </w:pPr>
          </w:p>
        </w:tc>
      </w:tr>
      <w:tr w:rsidR="00E06EDE" w:rsidRPr="00BF14CA" w14:paraId="352BD0FC" w14:textId="77777777" w:rsidTr="00857296">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6CCF1" w14:textId="5FBEAD21"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20</w:t>
            </w:r>
            <w:r w:rsidR="00C12BB1" w:rsidRPr="00496055">
              <w:rPr>
                <w:rFonts w:ascii="Calibri" w:eastAsia="Times New Roman" w:hAnsi="Calibri" w:cs="Times New Roman"/>
                <w:color w:val="000000"/>
              </w:rPr>
              <w:t>2</w:t>
            </w:r>
            <w:r w:rsidR="004351BF" w:rsidRPr="00496055">
              <w:rPr>
                <w:rFonts w:ascii="Calibri" w:eastAsia="Times New Roman" w:hAnsi="Calibri" w:cs="Times New Roman"/>
                <w:color w:val="000000"/>
              </w:rPr>
              <w:t>1</w:t>
            </w:r>
            <w:r w:rsidRPr="00496055">
              <w:rPr>
                <w:rFonts w:ascii="Calibri" w:eastAsia="Times New Roman" w:hAnsi="Calibri" w:cs="Times New Roman"/>
                <w:color w:val="000000"/>
              </w:rPr>
              <w:t>-20</w:t>
            </w:r>
            <w:r w:rsidR="00C12BB1" w:rsidRPr="00496055">
              <w:rPr>
                <w:rFonts w:ascii="Calibri" w:eastAsia="Times New Roman" w:hAnsi="Calibri" w:cs="Times New Roman"/>
                <w:color w:val="000000"/>
              </w:rPr>
              <w:t>2</w:t>
            </w:r>
            <w:r w:rsidR="004351BF" w:rsidRPr="00496055">
              <w:rPr>
                <w:rFonts w:ascii="Calibri" w:eastAsia="Times New Roman" w:hAnsi="Calibri" w:cs="Times New Roman"/>
                <w:color w:val="000000"/>
              </w:rPr>
              <w:t>2</w:t>
            </w:r>
            <w:r w:rsidR="00C7172E">
              <w:rPr>
                <w:rFonts w:ascii="Calibri" w:eastAsia="Times New Roman" w:hAnsi="Calibri" w:cs="Times New Roman"/>
                <w:color w:val="000000"/>
              </w:rPr>
              <w:t xml:space="preserve"> Gresham </w:t>
            </w:r>
            <w:r w:rsidRPr="00496055">
              <w:rPr>
                <w:rFonts w:ascii="Calibri" w:eastAsia="Times New Roman" w:hAnsi="Calibri" w:cs="Times New Roman"/>
                <w:color w:val="000000"/>
              </w:rPr>
              <w:t>HOME Entitlement Award</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613123" w14:textId="58FB1CC6" w:rsidR="00E06EDE" w:rsidRPr="00496055" w:rsidRDefault="00E06EDE" w:rsidP="00E06EDE">
            <w:pPr>
              <w:spacing w:after="0"/>
              <w:jc w:val="right"/>
              <w:rPr>
                <w:rFonts w:ascii="Calibri" w:eastAsia="Times New Roman" w:hAnsi="Calibri" w:cs="Times New Roman"/>
                <w:color w:val="000000"/>
              </w:rPr>
            </w:pPr>
            <w:r w:rsidRPr="00496055">
              <w:rPr>
                <w:rFonts w:ascii="Calibri" w:eastAsia="Times New Roman" w:hAnsi="Calibri" w:cs="Times New Roman"/>
                <w:color w:val="000000"/>
              </w:rPr>
              <w:t>$</w:t>
            </w:r>
            <w:r w:rsidR="0095339E">
              <w:rPr>
                <w:rFonts w:ascii="Calibri" w:eastAsia="Times New Roman" w:hAnsi="Calibri" w:cs="Times New Roman"/>
                <w:color w:val="000000"/>
              </w:rPr>
              <w:t>617,606</w:t>
            </w:r>
            <w:r w:rsidRPr="00496055">
              <w:rPr>
                <w:rFonts w:ascii="Calibri" w:eastAsia="Times New Roman" w:hAnsi="Calibri" w:cs="Times New Roman"/>
                <w:color w:val="000000"/>
              </w:rPr>
              <w:t xml:space="preserve"> </w:t>
            </w:r>
          </w:p>
        </w:tc>
        <w:tc>
          <w:tcPr>
            <w:tcW w:w="222" w:type="dxa"/>
            <w:tcBorders>
              <w:top w:val="nil"/>
              <w:left w:val="nil"/>
              <w:bottom w:val="nil"/>
              <w:right w:val="nil"/>
            </w:tcBorders>
            <w:shd w:val="clear" w:color="auto" w:fill="auto"/>
            <w:noWrap/>
            <w:vAlign w:val="bottom"/>
            <w:hideMark/>
          </w:tcPr>
          <w:p w14:paraId="78A6E1A8" w14:textId="77777777" w:rsidR="00E06EDE" w:rsidRPr="00BF14CA" w:rsidRDefault="00E06EDE" w:rsidP="00E06EDE">
            <w:pPr>
              <w:spacing w:after="0"/>
              <w:jc w:val="right"/>
              <w:rPr>
                <w:rFonts w:ascii="Calibri" w:eastAsia="Times New Roman" w:hAnsi="Calibri" w:cs="Times New Roman"/>
                <w:color w:val="000000"/>
                <w:highlight w:val="yellow"/>
              </w:rPr>
            </w:pPr>
          </w:p>
        </w:tc>
      </w:tr>
      <w:tr w:rsidR="00C7172E" w:rsidRPr="00BF14CA" w14:paraId="67CFB979" w14:textId="77777777" w:rsidTr="00857296">
        <w:trPr>
          <w:trHeight w:val="300"/>
        </w:trPr>
        <w:tc>
          <w:tcPr>
            <w:tcW w:w="6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9DAC6" w14:textId="4907A921" w:rsidR="00C7172E" w:rsidRPr="00496055" w:rsidRDefault="0095339E" w:rsidP="00E06EDE">
            <w:pPr>
              <w:spacing w:after="0"/>
              <w:jc w:val="left"/>
              <w:rPr>
                <w:rFonts w:ascii="Calibri" w:eastAsia="Times New Roman" w:hAnsi="Calibri" w:cs="Times New Roman"/>
                <w:color w:val="000000"/>
              </w:rPr>
            </w:pPr>
            <w:r>
              <w:rPr>
                <w:rFonts w:ascii="Calibri" w:eastAsia="Times New Roman" w:hAnsi="Calibri" w:cs="Times New Roman"/>
                <w:color w:val="000000"/>
              </w:rPr>
              <w:t>2021-2022 Multnomah County HOME Entitlement Award</w:t>
            </w: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117ADA17" w14:textId="32CC01BD" w:rsidR="00C7172E" w:rsidRPr="00496055" w:rsidRDefault="0095339E" w:rsidP="00E06EDE">
            <w:pPr>
              <w:spacing w:after="0"/>
              <w:jc w:val="right"/>
              <w:rPr>
                <w:rFonts w:ascii="Calibri" w:eastAsia="Times New Roman" w:hAnsi="Calibri" w:cs="Times New Roman"/>
                <w:color w:val="000000"/>
              </w:rPr>
            </w:pPr>
            <w:r>
              <w:rPr>
                <w:rFonts w:ascii="Calibri" w:eastAsia="Times New Roman" w:hAnsi="Calibri" w:cs="Times New Roman"/>
                <w:color w:val="000000"/>
              </w:rPr>
              <w:t>143,629</w:t>
            </w:r>
          </w:p>
        </w:tc>
        <w:tc>
          <w:tcPr>
            <w:tcW w:w="222" w:type="dxa"/>
            <w:tcBorders>
              <w:top w:val="nil"/>
              <w:left w:val="nil"/>
              <w:bottom w:val="nil"/>
              <w:right w:val="nil"/>
            </w:tcBorders>
            <w:shd w:val="clear" w:color="auto" w:fill="auto"/>
            <w:noWrap/>
            <w:vAlign w:val="bottom"/>
          </w:tcPr>
          <w:p w14:paraId="310D5702" w14:textId="77777777" w:rsidR="00C7172E" w:rsidRPr="00BF14CA" w:rsidRDefault="00C7172E" w:rsidP="00E06EDE">
            <w:pPr>
              <w:spacing w:after="0"/>
              <w:jc w:val="right"/>
              <w:rPr>
                <w:rFonts w:ascii="Calibri" w:eastAsia="Times New Roman" w:hAnsi="Calibri" w:cs="Times New Roman"/>
                <w:color w:val="000000"/>
                <w:highlight w:val="yellow"/>
              </w:rPr>
            </w:pPr>
          </w:p>
        </w:tc>
      </w:tr>
      <w:tr w:rsidR="00E06EDE" w:rsidRPr="00E06EDE" w14:paraId="06CF8A7B"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6CFD1D33"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xml:space="preserve">Program Income </w:t>
            </w:r>
          </w:p>
        </w:tc>
        <w:tc>
          <w:tcPr>
            <w:tcW w:w="1439" w:type="dxa"/>
            <w:tcBorders>
              <w:top w:val="nil"/>
              <w:left w:val="nil"/>
              <w:bottom w:val="single" w:sz="4" w:space="0" w:color="auto"/>
              <w:right w:val="single" w:sz="4" w:space="0" w:color="auto"/>
            </w:tcBorders>
            <w:shd w:val="clear" w:color="auto" w:fill="auto"/>
            <w:noWrap/>
            <w:vAlign w:val="bottom"/>
            <w:hideMark/>
          </w:tcPr>
          <w:p w14:paraId="45561C92" w14:textId="576B6E26" w:rsidR="00E06EDE" w:rsidRPr="00496055" w:rsidRDefault="00093DEC" w:rsidP="00E06EDE">
            <w:pPr>
              <w:spacing w:after="0"/>
              <w:jc w:val="right"/>
              <w:rPr>
                <w:rFonts w:ascii="Calibri" w:eastAsia="Times New Roman" w:hAnsi="Calibri" w:cs="Times New Roman"/>
                <w:color w:val="000000"/>
              </w:rPr>
            </w:pPr>
            <w:r w:rsidRPr="00496055">
              <w:rPr>
                <w:rFonts w:ascii="Calibri" w:eastAsia="Times New Roman" w:hAnsi="Calibri" w:cs="Times New Roman"/>
                <w:color w:val="000000"/>
              </w:rPr>
              <w:t>0</w:t>
            </w:r>
            <w:r w:rsidR="00E06EDE" w:rsidRPr="00496055">
              <w:rPr>
                <w:rFonts w:ascii="Calibri" w:eastAsia="Times New Roman" w:hAnsi="Calibri" w:cs="Times New Roman"/>
                <w:color w:val="000000"/>
              </w:rPr>
              <w:t xml:space="preserve"> </w:t>
            </w:r>
          </w:p>
        </w:tc>
        <w:tc>
          <w:tcPr>
            <w:tcW w:w="222" w:type="dxa"/>
            <w:tcBorders>
              <w:top w:val="nil"/>
              <w:left w:val="nil"/>
              <w:bottom w:val="nil"/>
              <w:right w:val="nil"/>
            </w:tcBorders>
            <w:shd w:val="clear" w:color="auto" w:fill="auto"/>
            <w:noWrap/>
            <w:vAlign w:val="bottom"/>
            <w:hideMark/>
          </w:tcPr>
          <w:p w14:paraId="1392EE60" w14:textId="77777777" w:rsidR="00E06EDE" w:rsidRPr="00E06EDE" w:rsidRDefault="00E06EDE" w:rsidP="00E06EDE">
            <w:pPr>
              <w:spacing w:after="0"/>
              <w:jc w:val="right"/>
              <w:rPr>
                <w:rFonts w:ascii="Calibri" w:eastAsia="Times New Roman" w:hAnsi="Calibri" w:cs="Times New Roman"/>
                <w:color w:val="000000"/>
              </w:rPr>
            </w:pPr>
          </w:p>
        </w:tc>
      </w:tr>
      <w:tr w:rsidR="00E06EDE" w:rsidRPr="00E06EDE" w14:paraId="33C911F3"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63004D99"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ADDA46"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14:paraId="319B744A" w14:textId="77777777" w:rsidR="00E06EDE" w:rsidRPr="00E06EDE" w:rsidRDefault="00E06EDE" w:rsidP="00E06EDE">
            <w:pPr>
              <w:spacing w:after="0"/>
              <w:jc w:val="left"/>
              <w:rPr>
                <w:rFonts w:ascii="Calibri" w:eastAsia="Times New Roman" w:hAnsi="Calibri" w:cs="Times New Roman"/>
                <w:color w:val="000000"/>
              </w:rPr>
            </w:pPr>
          </w:p>
        </w:tc>
      </w:tr>
      <w:tr w:rsidR="00E06EDE" w:rsidRPr="00E06EDE" w14:paraId="25358815"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43C273AA"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15DC192D"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14:paraId="37BE93B6" w14:textId="77777777" w:rsidR="00E06EDE" w:rsidRPr="00E06EDE" w:rsidRDefault="00E06EDE" w:rsidP="00E06EDE">
            <w:pPr>
              <w:spacing w:after="0"/>
              <w:jc w:val="left"/>
              <w:rPr>
                <w:rFonts w:ascii="Calibri" w:eastAsia="Times New Roman" w:hAnsi="Calibri" w:cs="Times New Roman"/>
                <w:color w:val="000000"/>
              </w:rPr>
            </w:pPr>
          </w:p>
        </w:tc>
      </w:tr>
      <w:tr w:rsidR="00E06EDE" w:rsidRPr="00E06EDE" w14:paraId="3EE0AE41"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11B254BD" w14:textId="3BA3F4D0"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20</w:t>
            </w:r>
            <w:r w:rsidR="004351BF" w:rsidRPr="00496055">
              <w:rPr>
                <w:rFonts w:ascii="Calibri" w:eastAsia="Times New Roman" w:hAnsi="Calibri" w:cs="Times New Roman"/>
                <w:color w:val="000000"/>
              </w:rPr>
              <w:t>20</w:t>
            </w:r>
            <w:r w:rsidRPr="00496055">
              <w:rPr>
                <w:rFonts w:ascii="Calibri" w:eastAsia="Times New Roman" w:hAnsi="Calibri" w:cs="Times New Roman"/>
                <w:color w:val="000000"/>
              </w:rPr>
              <w:t>-20</w:t>
            </w:r>
            <w:r w:rsidR="002C36E0" w:rsidRPr="00496055">
              <w:rPr>
                <w:rFonts w:ascii="Calibri" w:eastAsia="Times New Roman" w:hAnsi="Calibri" w:cs="Times New Roman"/>
                <w:color w:val="000000"/>
              </w:rPr>
              <w:t>2</w:t>
            </w:r>
            <w:r w:rsidR="004351BF" w:rsidRPr="00496055">
              <w:rPr>
                <w:rFonts w:ascii="Calibri" w:eastAsia="Times New Roman" w:hAnsi="Calibri" w:cs="Times New Roman"/>
                <w:color w:val="000000"/>
              </w:rPr>
              <w:t xml:space="preserve">1 </w:t>
            </w:r>
            <w:r w:rsidRPr="00496055">
              <w:rPr>
                <w:rFonts w:ascii="Calibri" w:eastAsia="Times New Roman" w:hAnsi="Calibri" w:cs="Times New Roman"/>
                <w:color w:val="000000"/>
              </w:rPr>
              <w:t xml:space="preserve">HOME Carryover </w:t>
            </w:r>
          </w:p>
        </w:tc>
        <w:tc>
          <w:tcPr>
            <w:tcW w:w="1439" w:type="dxa"/>
            <w:tcBorders>
              <w:top w:val="nil"/>
              <w:left w:val="nil"/>
              <w:bottom w:val="single" w:sz="4" w:space="0" w:color="auto"/>
              <w:right w:val="single" w:sz="4" w:space="0" w:color="auto"/>
            </w:tcBorders>
            <w:shd w:val="clear" w:color="auto" w:fill="auto"/>
            <w:noWrap/>
            <w:vAlign w:val="bottom"/>
            <w:hideMark/>
          </w:tcPr>
          <w:p w14:paraId="0169989A" w14:textId="4F6D9460" w:rsidR="00E06EDE" w:rsidRPr="00496055" w:rsidRDefault="00985468" w:rsidP="00E06EDE">
            <w:pPr>
              <w:spacing w:after="0"/>
              <w:jc w:val="right"/>
              <w:rPr>
                <w:rFonts w:ascii="Calibri" w:eastAsia="Times New Roman" w:hAnsi="Calibri" w:cs="Times New Roman"/>
                <w:color w:val="000000"/>
              </w:rPr>
            </w:pPr>
            <w:r>
              <w:rPr>
                <w:rFonts w:ascii="Calibri" w:eastAsia="Times New Roman" w:hAnsi="Calibri" w:cs="Times New Roman"/>
                <w:color w:val="000000"/>
              </w:rPr>
              <w:t>352,817</w:t>
            </w:r>
            <w:r w:rsidR="00E06EDE" w:rsidRPr="00496055">
              <w:rPr>
                <w:rFonts w:ascii="Calibri" w:eastAsia="Times New Roman" w:hAnsi="Calibri" w:cs="Times New Roman"/>
                <w:color w:val="000000"/>
              </w:rPr>
              <w:t xml:space="preserve"> </w:t>
            </w:r>
          </w:p>
        </w:tc>
        <w:tc>
          <w:tcPr>
            <w:tcW w:w="222" w:type="dxa"/>
            <w:tcBorders>
              <w:top w:val="nil"/>
              <w:left w:val="nil"/>
              <w:bottom w:val="nil"/>
              <w:right w:val="nil"/>
            </w:tcBorders>
            <w:shd w:val="clear" w:color="auto" w:fill="auto"/>
            <w:noWrap/>
            <w:vAlign w:val="bottom"/>
            <w:hideMark/>
          </w:tcPr>
          <w:p w14:paraId="4B0FF96D" w14:textId="77777777" w:rsidR="00E06EDE" w:rsidRPr="00E06EDE" w:rsidRDefault="00E06EDE" w:rsidP="00E06EDE">
            <w:pPr>
              <w:spacing w:after="0"/>
              <w:jc w:val="right"/>
              <w:rPr>
                <w:rFonts w:ascii="Calibri" w:eastAsia="Times New Roman" w:hAnsi="Calibri" w:cs="Times New Roman"/>
                <w:color w:val="000000"/>
              </w:rPr>
            </w:pPr>
          </w:p>
        </w:tc>
      </w:tr>
      <w:tr w:rsidR="002C36E0" w:rsidRPr="00E06EDE" w14:paraId="6864D73E"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tcPr>
          <w:p w14:paraId="5651628D" w14:textId="0AD0DFE1" w:rsidR="002C36E0" w:rsidRPr="00496055" w:rsidRDefault="001B3766"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xml:space="preserve">   Remaining Shared Appreciation Mortgage ($</w:t>
            </w:r>
            <w:r w:rsidR="00985468">
              <w:rPr>
                <w:rFonts w:ascii="Calibri" w:eastAsia="Times New Roman" w:hAnsi="Calibri" w:cs="Times New Roman"/>
                <w:color w:val="000000"/>
              </w:rPr>
              <w:t>252,817</w:t>
            </w:r>
            <w:r w:rsidR="002C2A28" w:rsidRPr="00496055">
              <w:rPr>
                <w:rFonts w:ascii="Calibri" w:eastAsia="Times New Roman" w:hAnsi="Calibri" w:cs="Times New Roman"/>
                <w:color w:val="000000"/>
              </w:rPr>
              <w:t>)</w:t>
            </w:r>
          </w:p>
        </w:tc>
        <w:tc>
          <w:tcPr>
            <w:tcW w:w="1439" w:type="dxa"/>
            <w:tcBorders>
              <w:top w:val="nil"/>
              <w:left w:val="nil"/>
              <w:bottom w:val="single" w:sz="4" w:space="0" w:color="auto"/>
              <w:right w:val="single" w:sz="4" w:space="0" w:color="auto"/>
            </w:tcBorders>
            <w:shd w:val="clear" w:color="auto" w:fill="auto"/>
            <w:noWrap/>
            <w:vAlign w:val="bottom"/>
          </w:tcPr>
          <w:p w14:paraId="0B3EA912" w14:textId="77777777" w:rsidR="002C36E0" w:rsidRPr="00496055" w:rsidRDefault="002C36E0" w:rsidP="00E06EDE">
            <w:pPr>
              <w:spacing w:after="0"/>
              <w:jc w:val="lef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14:paraId="7DE8D5F3" w14:textId="77777777" w:rsidR="002C36E0" w:rsidRPr="00E06EDE" w:rsidRDefault="002C36E0" w:rsidP="00E06EDE">
            <w:pPr>
              <w:spacing w:after="0"/>
              <w:jc w:val="left"/>
              <w:rPr>
                <w:rFonts w:ascii="Calibri" w:eastAsia="Times New Roman" w:hAnsi="Calibri" w:cs="Times New Roman"/>
                <w:color w:val="000000"/>
              </w:rPr>
            </w:pPr>
          </w:p>
        </w:tc>
      </w:tr>
      <w:tr w:rsidR="001B3766" w:rsidRPr="00E06EDE" w14:paraId="3DE1AC4D"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tcPr>
          <w:p w14:paraId="238E5482" w14:textId="40A11DF2" w:rsidR="001B3766" w:rsidRPr="00496055" w:rsidRDefault="002C2A28"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xml:space="preserve">   Remaining Rent Assistance- JOIN ($</w:t>
            </w:r>
            <w:r w:rsidR="00093DEC" w:rsidRPr="00496055">
              <w:rPr>
                <w:rFonts w:ascii="Calibri" w:eastAsia="Times New Roman" w:hAnsi="Calibri" w:cs="Times New Roman"/>
                <w:color w:val="000000"/>
              </w:rPr>
              <w:t>100,000</w:t>
            </w:r>
            <w:r w:rsidR="00501555" w:rsidRPr="00496055">
              <w:rPr>
                <w:rFonts w:ascii="Calibri" w:eastAsia="Times New Roman" w:hAnsi="Calibri" w:cs="Times New Roman"/>
                <w:color w:val="000000"/>
              </w:rPr>
              <w:t>)</w:t>
            </w:r>
          </w:p>
        </w:tc>
        <w:tc>
          <w:tcPr>
            <w:tcW w:w="1439" w:type="dxa"/>
            <w:tcBorders>
              <w:top w:val="nil"/>
              <w:left w:val="nil"/>
              <w:bottom w:val="single" w:sz="4" w:space="0" w:color="auto"/>
              <w:right w:val="single" w:sz="4" w:space="0" w:color="auto"/>
            </w:tcBorders>
            <w:shd w:val="clear" w:color="auto" w:fill="auto"/>
            <w:noWrap/>
            <w:vAlign w:val="bottom"/>
          </w:tcPr>
          <w:p w14:paraId="264CD7A5" w14:textId="77777777" w:rsidR="001B3766" w:rsidRPr="00496055" w:rsidRDefault="001B3766" w:rsidP="00E06EDE">
            <w:pPr>
              <w:spacing w:after="0"/>
              <w:jc w:val="lef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14:paraId="6CF9954D" w14:textId="77777777" w:rsidR="001B3766" w:rsidRPr="00E06EDE" w:rsidRDefault="001B3766" w:rsidP="00E06EDE">
            <w:pPr>
              <w:spacing w:after="0"/>
              <w:jc w:val="left"/>
              <w:rPr>
                <w:rFonts w:ascii="Calibri" w:eastAsia="Times New Roman" w:hAnsi="Calibri" w:cs="Times New Roman"/>
                <w:color w:val="000000"/>
              </w:rPr>
            </w:pPr>
          </w:p>
        </w:tc>
      </w:tr>
      <w:tr w:rsidR="002C36E0" w:rsidRPr="00E06EDE" w14:paraId="112BB468"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tcPr>
          <w:p w14:paraId="3595CAC4" w14:textId="77777777" w:rsidR="002C36E0" w:rsidRPr="00496055" w:rsidRDefault="002C36E0" w:rsidP="00E06EDE">
            <w:pPr>
              <w:spacing w:after="0"/>
              <w:jc w:val="left"/>
              <w:rPr>
                <w:rFonts w:ascii="Calibri" w:eastAsia="Times New Roman" w:hAnsi="Calibri" w:cs="Times New Roman"/>
                <w:color w:val="000000"/>
              </w:rPr>
            </w:pPr>
          </w:p>
        </w:tc>
        <w:tc>
          <w:tcPr>
            <w:tcW w:w="1439" w:type="dxa"/>
            <w:tcBorders>
              <w:top w:val="nil"/>
              <w:left w:val="nil"/>
              <w:bottom w:val="single" w:sz="4" w:space="0" w:color="auto"/>
              <w:right w:val="single" w:sz="4" w:space="0" w:color="auto"/>
            </w:tcBorders>
            <w:shd w:val="clear" w:color="auto" w:fill="auto"/>
            <w:noWrap/>
            <w:vAlign w:val="bottom"/>
          </w:tcPr>
          <w:p w14:paraId="4E907F05" w14:textId="77777777" w:rsidR="002C36E0" w:rsidRPr="00496055" w:rsidRDefault="002C36E0" w:rsidP="00E06EDE">
            <w:pPr>
              <w:spacing w:after="0"/>
              <w:jc w:val="left"/>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14:paraId="1865B70A" w14:textId="77777777" w:rsidR="002C36E0" w:rsidRPr="00E06EDE" w:rsidRDefault="002C36E0" w:rsidP="00E06EDE">
            <w:pPr>
              <w:spacing w:after="0"/>
              <w:jc w:val="left"/>
              <w:rPr>
                <w:rFonts w:ascii="Calibri" w:eastAsia="Times New Roman" w:hAnsi="Calibri" w:cs="Times New Roman"/>
                <w:color w:val="000000"/>
              </w:rPr>
            </w:pPr>
          </w:p>
        </w:tc>
      </w:tr>
      <w:tr w:rsidR="00E06EDE" w:rsidRPr="00E06EDE" w14:paraId="64CEADD7"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0B2D4049" w14:textId="77777777" w:rsidR="00E06EDE" w:rsidRPr="00496055" w:rsidRDefault="00E06EDE" w:rsidP="00E06EDE">
            <w:pPr>
              <w:spacing w:after="0"/>
              <w:jc w:val="left"/>
              <w:rPr>
                <w:rFonts w:ascii="Calibri" w:eastAsia="Times New Roman" w:hAnsi="Calibri" w:cs="Times New Roman"/>
                <w:b/>
                <w:color w:val="000000"/>
              </w:rPr>
            </w:pPr>
            <w:r w:rsidRPr="00496055">
              <w:rPr>
                <w:rFonts w:ascii="Calibri" w:eastAsia="Times New Roman" w:hAnsi="Calibri" w:cs="Times New Roman"/>
                <w:b/>
                <w:color w:val="000000"/>
              </w:rPr>
              <w:t>Total Gresham Resources</w:t>
            </w:r>
          </w:p>
        </w:tc>
        <w:tc>
          <w:tcPr>
            <w:tcW w:w="1439" w:type="dxa"/>
            <w:tcBorders>
              <w:top w:val="nil"/>
              <w:left w:val="nil"/>
              <w:bottom w:val="single" w:sz="4" w:space="0" w:color="auto"/>
              <w:right w:val="single" w:sz="4" w:space="0" w:color="auto"/>
            </w:tcBorders>
            <w:shd w:val="clear" w:color="auto" w:fill="auto"/>
            <w:noWrap/>
            <w:vAlign w:val="bottom"/>
            <w:hideMark/>
          </w:tcPr>
          <w:p w14:paraId="6207E797" w14:textId="70C3BA01" w:rsidR="00E06EDE" w:rsidRPr="00496055" w:rsidRDefault="00E06EDE" w:rsidP="00E06EDE">
            <w:pPr>
              <w:spacing w:after="0"/>
              <w:jc w:val="right"/>
              <w:rPr>
                <w:rFonts w:ascii="Calibri" w:eastAsia="Times New Roman" w:hAnsi="Calibri" w:cs="Times New Roman"/>
                <w:b/>
                <w:color w:val="000000"/>
              </w:rPr>
            </w:pPr>
            <w:r w:rsidRPr="00496055">
              <w:rPr>
                <w:rFonts w:ascii="Calibri" w:eastAsia="Times New Roman" w:hAnsi="Calibri" w:cs="Times New Roman"/>
                <w:b/>
                <w:color w:val="000000"/>
              </w:rPr>
              <w:t>$1,</w:t>
            </w:r>
            <w:r w:rsidR="00985468">
              <w:rPr>
                <w:rFonts w:ascii="Calibri" w:eastAsia="Times New Roman" w:hAnsi="Calibri" w:cs="Times New Roman"/>
                <w:b/>
                <w:color w:val="000000"/>
              </w:rPr>
              <w:t>114,052</w:t>
            </w:r>
          </w:p>
        </w:tc>
        <w:tc>
          <w:tcPr>
            <w:tcW w:w="222" w:type="dxa"/>
            <w:tcBorders>
              <w:top w:val="nil"/>
              <w:left w:val="nil"/>
              <w:bottom w:val="nil"/>
              <w:right w:val="nil"/>
            </w:tcBorders>
            <w:shd w:val="clear" w:color="auto" w:fill="auto"/>
            <w:noWrap/>
            <w:vAlign w:val="bottom"/>
            <w:hideMark/>
          </w:tcPr>
          <w:p w14:paraId="644C7919" w14:textId="77777777" w:rsidR="00E06EDE" w:rsidRPr="00E06EDE" w:rsidRDefault="00E06EDE" w:rsidP="00E06EDE">
            <w:pPr>
              <w:spacing w:after="0"/>
              <w:jc w:val="right"/>
              <w:rPr>
                <w:rFonts w:ascii="Calibri" w:eastAsia="Times New Roman" w:hAnsi="Calibri" w:cs="Times New Roman"/>
                <w:color w:val="000000"/>
              </w:rPr>
            </w:pPr>
          </w:p>
        </w:tc>
      </w:tr>
      <w:tr w:rsidR="00E06EDE" w:rsidRPr="00E06EDE" w14:paraId="633683B6"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67EFF150"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7B096C97"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14:paraId="3397D797" w14:textId="77777777" w:rsidR="00E06EDE" w:rsidRPr="00E06EDE" w:rsidRDefault="00E06EDE" w:rsidP="00E06EDE">
            <w:pPr>
              <w:spacing w:after="0"/>
              <w:jc w:val="left"/>
              <w:rPr>
                <w:rFonts w:ascii="Calibri" w:eastAsia="Times New Roman" w:hAnsi="Calibri" w:cs="Times New Roman"/>
                <w:color w:val="000000"/>
              </w:rPr>
            </w:pPr>
          </w:p>
        </w:tc>
      </w:tr>
      <w:tr w:rsidR="00E06EDE" w:rsidRPr="00E06EDE" w14:paraId="1E953A76"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3D67BE60" w14:textId="77777777" w:rsidR="00E06EDE" w:rsidRPr="00496055" w:rsidRDefault="00E06EDE" w:rsidP="00E06EDE">
            <w:pPr>
              <w:spacing w:after="0"/>
              <w:jc w:val="left"/>
              <w:rPr>
                <w:rFonts w:ascii="Calibri" w:eastAsia="Times New Roman" w:hAnsi="Calibri" w:cs="Times New Roman"/>
                <w:bCs/>
                <w:i/>
                <w:color w:val="000000"/>
              </w:rPr>
            </w:pPr>
            <w:r w:rsidRPr="00496055">
              <w:rPr>
                <w:rFonts w:ascii="Calibri" w:eastAsia="Times New Roman" w:hAnsi="Calibri" w:cs="Times New Roman"/>
                <w:bCs/>
                <w:i/>
                <w:color w:val="000000"/>
              </w:rPr>
              <w:t>HOME Administered by Gresham (in IGA)</w:t>
            </w:r>
          </w:p>
        </w:tc>
        <w:tc>
          <w:tcPr>
            <w:tcW w:w="1439" w:type="dxa"/>
            <w:tcBorders>
              <w:top w:val="nil"/>
              <w:left w:val="nil"/>
              <w:bottom w:val="single" w:sz="4" w:space="0" w:color="auto"/>
              <w:right w:val="single" w:sz="4" w:space="0" w:color="auto"/>
            </w:tcBorders>
            <w:shd w:val="clear" w:color="auto" w:fill="auto"/>
            <w:noWrap/>
            <w:vAlign w:val="bottom"/>
            <w:hideMark/>
          </w:tcPr>
          <w:p w14:paraId="4FFF39DF"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14:paraId="0D5C076B" w14:textId="77777777" w:rsidR="00E06EDE" w:rsidRPr="00E06EDE" w:rsidRDefault="00E06EDE" w:rsidP="00E06EDE">
            <w:pPr>
              <w:spacing w:after="0"/>
              <w:jc w:val="left"/>
              <w:rPr>
                <w:rFonts w:ascii="Calibri" w:eastAsia="Times New Roman" w:hAnsi="Calibri" w:cs="Times New Roman"/>
                <w:color w:val="000000"/>
              </w:rPr>
            </w:pPr>
          </w:p>
        </w:tc>
      </w:tr>
      <w:tr w:rsidR="00E06EDE" w:rsidRPr="00E06EDE" w14:paraId="2377A9E5"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5DF0893F"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Rent Assistance-Human Solutions</w:t>
            </w:r>
          </w:p>
        </w:tc>
        <w:tc>
          <w:tcPr>
            <w:tcW w:w="1439" w:type="dxa"/>
            <w:tcBorders>
              <w:top w:val="nil"/>
              <w:left w:val="nil"/>
              <w:bottom w:val="single" w:sz="4" w:space="0" w:color="auto"/>
              <w:right w:val="single" w:sz="4" w:space="0" w:color="auto"/>
            </w:tcBorders>
            <w:shd w:val="clear" w:color="auto" w:fill="auto"/>
            <w:noWrap/>
            <w:vAlign w:val="bottom"/>
            <w:hideMark/>
          </w:tcPr>
          <w:p w14:paraId="6FCE218E" w14:textId="7310337A" w:rsidR="00E06EDE" w:rsidRPr="00496055" w:rsidRDefault="00E06EDE" w:rsidP="00E06EDE">
            <w:pPr>
              <w:spacing w:after="0"/>
              <w:jc w:val="right"/>
              <w:rPr>
                <w:rFonts w:ascii="Calibri" w:eastAsia="Times New Roman" w:hAnsi="Calibri" w:cs="Times New Roman"/>
                <w:color w:val="000000"/>
              </w:rPr>
            </w:pPr>
            <w:r w:rsidRPr="00496055">
              <w:rPr>
                <w:rFonts w:ascii="Calibri" w:eastAsia="Times New Roman" w:hAnsi="Calibri" w:cs="Times New Roman"/>
                <w:color w:val="000000"/>
              </w:rPr>
              <w:t>$</w:t>
            </w:r>
            <w:r w:rsidR="00BA3802" w:rsidRPr="00496055">
              <w:rPr>
                <w:rFonts w:ascii="Calibri" w:eastAsia="Times New Roman" w:hAnsi="Calibri" w:cs="Times New Roman"/>
                <w:color w:val="000000"/>
              </w:rPr>
              <w:t>3</w:t>
            </w:r>
            <w:r w:rsidR="00093DEC" w:rsidRPr="00496055">
              <w:rPr>
                <w:rFonts w:ascii="Calibri" w:eastAsia="Times New Roman" w:hAnsi="Calibri" w:cs="Times New Roman"/>
                <w:color w:val="000000"/>
              </w:rPr>
              <w:t>4</w:t>
            </w:r>
            <w:r w:rsidR="00BA3802" w:rsidRPr="00496055">
              <w:rPr>
                <w:rFonts w:ascii="Calibri" w:eastAsia="Times New Roman" w:hAnsi="Calibri" w:cs="Times New Roman"/>
                <w:color w:val="000000"/>
              </w:rPr>
              <w:t>4,400</w:t>
            </w:r>
            <w:r w:rsidRPr="00496055">
              <w:rPr>
                <w:rFonts w:ascii="Calibri" w:eastAsia="Times New Roman" w:hAnsi="Calibri" w:cs="Times New Roman"/>
                <w:color w:val="000000"/>
              </w:rPr>
              <w:t xml:space="preserve"> </w:t>
            </w:r>
          </w:p>
        </w:tc>
        <w:tc>
          <w:tcPr>
            <w:tcW w:w="222" w:type="dxa"/>
            <w:tcBorders>
              <w:top w:val="nil"/>
              <w:left w:val="nil"/>
              <w:bottom w:val="nil"/>
              <w:right w:val="nil"/>
            </w:tcBorders>
            <w:shd w:val="clear" w:color="auto" w:fill="auto"/>
            <w:noWrap/>
            <w:vAlign w:val="bottom"/>
            <w:hideMark/>
          </w:tcPr>
          <w:p w14:paraId="51EA4576" w14:textId="77777777" w:rsidR="00E06EDE" w:rsidRPr="00E06EDE" w:rsidRDefault="00E06EDE" w:rsidP="00E06EDE">
            <w:pPr>
              <w:spacing w:after="0"/>
              <w:jc w:val="right"/>
              <w:rPr>
                <w:rFonts w:ascii="Calibri" w:eastAsia="Times New Roman" w:hAnsi="Calibri" w:cs="Times New Roman"/>
                <w:color w:val="000000"/>
              </w:rPr>
            </w:pPr>
          </w:p>
        </w:tc>
      </w:tr>
      <w:tr w:rsidR="00E06EDE" w:rsidRPr="00E06EDE" w14:paraId="128E5BCB"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0C44A171" w14:textId="1E41DB65" w:rsidR="00E06EDE" w:rsidRPr="00496055" w:rsidRDefault="00093DEC"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Homebuyer</w:t>
            </w:r>
            <w:r w:rsidR="00E06EDE" w:rsidRPr="00496055">
              <w:rPr>
                <w:rFonts w:ascii="Calibri" w:eastAsia="Times New Roman" w:hAnsi="Calibri" w:cs="Times New Roman"/>
                <w:color w:val="000000"/>
              </w:rPr>
              <w:t xml:space="preserve"> Assistance - Proud Ground</w:t>
            </w:r>
          </w:p>
        </w:tc>
        <w:tc>
          <w:tcPr>
            <w:tcW w:w="1439" w:type="dxa"/>
            <w:tcBorders>
              <w:top w:val="nil"/>
              <w:left w:val="nil"/>
              <w:bottom w:val="single" w:sz="4" w:space="0" w:color="auto"/>
              <w:right w:val="single" w:sz="4" w:space="0" w:color="auto"/>
            </w:tcBorders>
            <w:shd w:val="clear" w:color="auto" w:fill="auto"/>
            <w:noWrap/>
            <w:vAlign w:val="bottom"/>
            <w:hideMark/>
          </w:tcPr>
          <w:p w14:paraId="3FF21C28" w14:textId="39E20848" w:rsidR="00E06EDE" w:rsidRPr="00496055" w:rsidRDefault="00DD4A19" w:rsidP="00E06EDE">
            <w:pPr>
              <w:spacing w:after="0"/>
              <w:jc w:val="right"/>
              <w:rPr>
                <w:rFonts w:ascii="Calibri" w:eastAsia="Times New Roman" w:hAnsi="Calibri" w:cs="Times New Roman"/>
                <w:color w:val="000000"/>
              </w:rPr>
            </w:pPr>
            <w:r>
              <w:rPr>
                <w:rFonts w:ascii="Calibri" w:eastAsia="Times New Roman" w:hAnsi="Calibri" w:cs="Times New Roman"/>
                <w:color w:val="000000"/>
              </w:rPr>
              <w:t>340</w:t>
            </w:r>
            <w:r w:rsidR="00093DEC" w:rsidRPr="00496055">
              <w:rPr>
                <w:rFonts w:ascii="Calibri" w:eastAsia="Times New Roman" w:hAnsi="Calibri" w:cs="Times New Roman"/>
                <w:color w:val="000000"/>
              </w:rPr>
              <w:t>,000</w:t>
            </w:r>
            <w:r w:rsidR="00E06EDE" w:rsidRPr="00496055">
              <w:rPr>
                <w:rFonts w:ascii="Calibri" w:eastAsia="Times New Roman" w:hAnsi="Calibri" w:cs="Times New Roman"/>
                <w:color w:val="000000"/>
              </w:rPr>
              <w:t xml:space="preserve"> </w:t>
            </w:r>
          </w:p>
        </w:tc>
        <w:tc>
          <w:tcPr>
            <w:tcW w:w="222" w:type="dxa"/>
            <w:tcBorders>
              <w:top w:val="nil"/>
              <w:left w:val="nil"/>
              <w:bottom w:val="nil"/>
              <w:right w:val="nil"/>
            </w:tcBorders>
            <w:shd w:val="clear" w:color="auto" w:fill="auto"/>
            <w:noWrap/>
            <w:vAlign w:val="bottom"/>
            <w:hideMark/>
          </w:tcPr>
          <w:p w14:paraId="462EF589" w14:textId="77777777" w:rsidR="00E06EDE" w:rsidRPr="00E06EDE" w:rsidRDefault="00E06EDE" w:rsidP="00E06EDE">
            <w:pPr>
              <w:spacing w:after="0"/>
              <w:jc w:val="right"/>
              <w:rPr>
                <w:rFonts w:ascii="Calibri" w:eastAsia="Times New Roman" w:hAnsi="Calibri" w:cs="Times New Roman"/>
                <w:color w:val="000000"/>
              </w:rPr>
            </w:pPr>
          </w:p>
        </w:tc>
      </w:tr>
      <w:tr w:rsidR="00E06EDE" w:rsidRPr="00E06EDE" w14:paraId="7698C54B"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7A64381C"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Shared Appreciation Mortgage (SAM)</w:t>
            </w:r>
          </w:p>
        </w:tc>
        <w:tc>
          <w:tcPr>
            <w:tcW w:w="1439" w:type="dxa"/>
            <w:tcBorders>
              <w:top w:val="nil"/>
              <w:left w:val="nil"/>
              <w:bottom w:val="single" w:sz="4" w:space="0" w:color="auto"/>
              <w:right w:val="single" w:sz="4" w:space="0" w:color="auto"/>
            </w:tcBorders>
            <w:shd w:val="clear" w:color="auto" w:fill="auto"/>
            <w:noWrap/>
            <w:vAlign w:val="bottom"/>
            <w:hideMark/>
          </w:tcPr>
          <w:p w14:paraId="71C9814E" w14:textId="2F649117" w:rsidR="00E06EDE" w:rsidRPr="00496055" w:rsidRDefault="00501555" w:rsidP="00E06EDE">
            <w:pPr>
              <w:spacing w:after="0"/>
              <w:jc w:val="right"/>
              <w:rPr>
                <w:rFonts w:ascii="Calibri" w:eastAsia="Times New Roman" w:hAnsi="Calibri" w:cs="Times New Roman"/>
                <w:color w:val="000000"/>
              </w:rPr>
            </w:pPr>
            <w:r w:rsidRPr="00496055">
              <w:rPr>
                <w:rFonts w:ascii="Calibri" w:eastAsia="Times New Roman" w:hAnsi="Calibri" w:cs="Times New Roman"/>
                <w:color w:val="000000"/>
              </w:rPr>
              <w:t>3</w:t>
            </w:r>
            <w:r w:rsidR="00DD4A19">
              <w:rPr>
                <w:rFonts w:ascii="Calibri" w:eastAsia="Times New Roman" w:hAnsi="Calibri" w:cs="Times New Roman"/>
                <w:color w:val="000000"/>
              </w:rPr>
              <w:t>53,529</w:t>
            </w:r>
            <w:r w:rsidR="00E06EDE" w:rsidRPr="00496055">
              <w:rPr>
                <w:rFonts w:ascii="Calibri" w:eastAsia="Times New Roman" w:hAnsi="Calibri" w:cs="Times New Roman"/>
                <w:color w:val="000000"/>
              </w:rPr>
              <w:t xml:space="preserve"> </w:t>
            </w:r>
          </w:p>
        </w:tc>
        <w:tc>
          <w:tcPr>
            <w:tcW w:w="222" w:type="dxa"/>
            <w:tcBorders>
              <w:top w:val="nil"/>
              <w:left w:val="nil"/>
              <w:bottom w:val="nil"/>
              <w:right w:val="nil"/>
            </w:tcBorders>
            <w:shd w:val="clear" w:color="auto" w:fill="auto"/>
            <w:noWrap/>
            <w:vAlign w:val="bottom"/>
            <w:hideMark/>
          </w:tcPr>
          <w:p w14:paraId="5A728658" w14:textId="77777777" w:rsidR="00E06EDE" w:rsidRPr="00E06EDE" w:rsidRDefault="00E06EDE" w:rsidP="00E06EDE">
            <w:pPr>
              <w:spacing w:after="0"/>
              <w:jc w:val="right"/>
              <w:rPr>
                <w:rFonts w:ascii="Calibri" w:eastAsia="Times New Roman" w:hAnsi="Calibri" w:cs="Times New Roman"/>
                <w:color w:val="000000"/>
              </w:rPr>
            </w:pPr>
          </w:p>
        </w:tc>
      </w:tr>
      <w:tr w:rsidR="00E06EDE" w:rsidRPr="00E06EDE" w14:paraId="33FAEA0C"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5DD5BA97" w14:textId="03300021" w:rsidR="00E06EDE" w:rsidRPr="00496055" w:rsidRDefault="004351BF"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20</w:t>
            </w:r>
            <w:r w:rsidR="00E06EDE" w:rsidRPr="00496055">
              <w:rPr>
                <w:rFonts w:ascii="Calibri" w:eastAsia="Times New Roman" w:hAnsi="Calibri" w:cs="Times New Roman"/>
                <w:color w:val="000000"/>
              </w:rPr>
              <w:t>-</w:t>
            </w:r>
            <w:r w:rsidR="00BA3802" w:rsidRPr="00496055">
              <w:rPr>
                <w:rFonts w:ascii="Calibri" w:eastAsia="Times New Roman" w:hAnsi="Calibri" w:cs="Times New Roman"/>
                <w:color w:val="000000"/>
              </w:rPr>
              <w:t>2</w:t>
            </w:r>
            <w:r w:rsidRPr="00496055">
              <w:rPr>
                <w:rFonts w:ascii="Calibri" w:eastAsia="Times New Roman" w:hAnsi="Calibri" w:cs="Times New Roman"/>
                <w:color w:val="000000"/>
              </w:rPr>
              <w:t>1</w:t>
            </w:r>
            <w:r w:rsidR="00E06EDE" w:rsidRPr="00496055">
              <w:rPr>
                <w:rFonts w:ascii="Calibri" w:eastAsia="Times New Roman" w:hAnsi="Calibri" w:cs="Times New Roman"/>
                <w:color w:val="000000"/>
              </w:rPr>
              <w:t xml:space="preserve"> Admin Carryover</w:t>
            </w:r>
          </w:p>
        </w:tc>
        <w:tc>
          <w:tcPr>
            <w:tcW w:w="1439" w:type="dxa"/>
            <w:tcBorders>
              <w:top w:val="nil"/>
              <w:left w:val="nil"/>
              <w:bottom w:val="single" w:sz="4" w:space="0" w:color="auto"/>
              <w:right w:val="single" w:sz="4" w:space="0" w:color="auto"/>
            </w:tcBorders>
            <w:shd w:val="clear" w:color="auto" w:fill="auto"/>
            <w:noWrap/>
            <w:vAlign w:val="bottom"/>
            <w:hideMark/>
          </w:tcPr>
          <w:p w14:paraId="6B6425DE" w14:textId="401EFE84" w:rsidR="00E06EDE" w:rsidRPr="00496055" w:rsidRDefault="00096FFA" w:rsidP="00E06EDE">
            <w:pPr>
              <w:spacing w:after="0"/>
              <w:jc w:val="right"/>
              <w:rPr>
                <w:rFonts w:ascii="Calibri" w:eastAsia="Times New Roman" w:hAnsi="Calibri" w:cs="Times New Roman"/>
                <w:color w:val="000000"/>
              </w:rPr>
            </w:pPr>
            <w:r w:rsidRPr="00496055">
              <w:rPr>
                <w:rFonts w:ascii="Calibri" w:eastAsia="Times New Roman" w:hAnsi="Calibri" w:cs="Times New Roman"/>
                <w:color w:val="000000"/>
              </w:rPr>
              <w:t>0</w:t>
            </w:r>
          </w:p>
        </w:tc>
        <w:tc>
          <w:tcPr>
            <w:tcW w:w="222" w:type="dxa"/>
            <w:tcBorders>
              <w:top w:val="nil"/>
              <w:left w:val="nil"/>
              <w:bottom w:val="nil"/>
              <w:right w:val="nil"/>
            </w:tcBorders>
            <w:shd w:val="clear" w:color="auto" w:fill="auto"/>
            <w:noWrap/>
            <w:vAlign w:val="bottom"/>
            <w:hideMark/>
          </w:tcPr>
          <w:p w14:paraId="7C0DAEE1" w14:textId="77777777" w:rsidR="00E06EDE" w:rsidRPr="00E06EDE" w:rsidRDefault="00E06EDE" w:rsidP="00E06EDE">
            <w:pPr>
              <w:spacing w:after="0"/>
              <w:jc w:val="right"/>
              <w:rPr>
                <w:rFonts w:ascii="Calibri" w:eastAsia="Times New Roman" w:hAnsi="Calibri" w:cs="Times New Roman"/>
                <w:color w:val="000000"/>
              </w:rPr>
            </w:pPr>
          </w:p>
        </w:tc>
      </w:tr>
      <w:tr w:rsidR="00E06EDE" w:rsidRPr="00E06EDE" w14:paraId="7F2D1877"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3BF18F06"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Gresham Administration</w:t>
            </w:r>
          </w:p>
        </w:tc>
        <w:tc>
          <w:tcPr>
            <w:tcW w:w="1439" w:type="dxa"/>
            <w:tcBorders>
              <w:top w:val="nil"/>
              <w:left w:val="nil"/>
              <w:bottom w:val="single" w:sz="4" w:space="0" w:color="auto"/>
              <w:right w:val="single" w:sz="4" w:space="0" w:color="auto"/>
            </w:tcBorders>
            <w:shd w:val="clear" w:color="auto" w:fill="auto"/>
            <w:noWrap/>
            <w:vAlign w:val="bottom"/>
            <w:hideMark/>
          </w:tcPr>
          <w:p w14:paraId="3D08A9A7" w14:textId="0016DBA8" w:rsidR="00E06EDE" w:rsidRPr="00496055" w:rsidRDefault="00496055" w:rsidP="00E06EDE">
            <w:pPr>
              <w:spacing w:after="0"/>
              <w:jc w:val="right"/>
              <w:rPr>
                <w:rFonts w:ascii="Calibri" w:eastAsia="Times New Roman" w:hAnsi="Calibri" w:cs="Times New Roman"/>
                <w:color w:val="000000"/>
              </w:rPr>
            </w:pPr>
            <w:r w:rsidRPr="00496055">
              <w:rPr>
                <w:rFonts w:ascii="Calibri" w:eastAsia="Times New Roman" w:hAnsi="Calibri" w:cs="Times New Roman"/>
                <w:color w:val="000000"/>
              </w:rPr>
              <w:t>41,868</w:t>
            </w:r>
          </w:p>
        </w:tc>
        <w:tc>
          <w:tcPr>
            <w:tcW w:w="222" w:type="dxa"/>
            <w:tcBorders>
              <w:top w:val="nil"/>
              <w:left w:val="nil"/>
              <w:bottom w:val="nil"/>
              <w:right w:val="nil"/>
            </w:tcBorders>
            <w:shd w:val="clear" w:color="auto" w:fill="auto"/>
            <w:noWrap/>
            <w:vAlign w:val="bottom"/>
            <w:hideMark/>
          </w:tcPr>
          <w:p w14:paraId="106148A8" w14:textId="77777777" w:rsidR="00E06EDE" w:rsidRPr="00E06EDE" w:rsidRDefault="00E06EDE" w:rsidP="00E06EDE">
            <w:pPr>
              <w:spacing w:after="0"/>
              <w:jc w:val="right"/>
              <w:rPr>
                <w:rFonts w:ascii="Calibri" w:eastAsia="Times New Roman" w:hAnsi="Calibri" w:cs="Times New Roman"/>
                <w:color w:val="000000"/>
              </w:rPr>
            </w:pPr>
          </w:p>
        </w:tc>
      </w:tr>
      <w:tr w:rsidR="00E06EDE" w:rsidRPr="00E06EDE" w14:paraId="05DE37FA"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0010795B"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Total Gresham IGA</w:t>
            </w:r>
          </w:p>
        </w:tc>
        <w:tc>
          <w:tcPr>
            <w:tcW w:w="1439" w:type="dxa"/>
            <w:tcBorders>
              <w:top w:val="nil"/>
              <w:left w:val="nil"/>
              <w:bottom w:val="single" w:sz="4" w:space="0" w:color="auto"/>
              <w:right w:val="single" w:sz="4" w:space="0" w:color="auto"/>
            </w:tcBorders>
            <w:shd w:val="clear" w:color="auto" w:fill="auto"/>
            <w:noWrap/>
            <w:vAlign w:val="bottom"/>
            <w:hideMark/>
          </w:tcPr>
          <w:p w14:paraId="130C4FBC" w14:textId="233BEC5F" w:rsidR="00E06EDE" w:rsidRPr="00496055" w:rsidRDefault="00E06EDE" w:rsidP="00E06EDE">
            <w:pPr>
              <w:spacing w:after="0"/>
              <w:jc w:val="right"/>
              <w:rPr>
                <w:rFonts w:ascii="Calibri" w:eastAsia="Times New Roman" w:hAnsi="Calibri" w:cs="Times New Roman"/>
                <w:i/>
                <w:color w:val="000000"/>
              </w:rPr>
            </w:pPr>
            <w:r w:rsidRPr="00496055">
              <w:rPr>
                <w:rFonts w:ascii="Calibri" w:eastAsia="Times New Roman" w:hAnsi="Calibri" w:cs="Times New Roman"/>
                <w:i/>
                <w:color w:val="000000"/>
              </w:rPr>
              <w:t>$</w:t>
            </w:r>
            <w:r w:rsidR="00496055" w:rsidRPr="00496055">
              <w:rPr>
                <w:rFonts w:ascii="Calibri" w:eastAsia="Times New Roman" w:hAnsi="Calibri" w:cs="Times New Roman"/>
                <w:i/>
                <w:color w:val="000000"/>
              </w:rPr>
              <w:t>1,</w:t>
            </w:r>
            <w:r w:rsidR="00DD4A19">
              <w:rPr>
                <w:rFonts w:ascii="Calibri" w:eastAsia="Times New Roman" w:hAnsi="Calibri" w:cs="Times New Roman"/>
                <w:i/>
                <w:color w:val="000000"/>
              </w:rPr>
              <w:t>079,797</w:t>
            </w:r>
            <w:r w:rsidRPr="00496055">
              <w:rPr>
                <w:rFonts w:ascii="Calibri" w:eastAsia="Times New Roman" w:hAnsi="Calibri" w:cs="Times New Roman"/>
                <w:i/>
                <w:color w:val="000000"/>
              </w:rPr>
              <w:t xml:space="preserve"> </w:t>
            </w:r>
          </w:p>
        </w:tc>
        <w:tc>
          <w:tcPr>
            <w:tcW w:w="222" w:type="dxa"/>
            <w:tcBorders>
              <w:top w:val="nil"/>
              <w:left w:val="nil"/>
              <w:bottom w:val="nil"/>
              <w:right w:val="nil"/>
            </w:tcBorders>
            <w:shd w:val="clear" w:color="auto" w:fill="auto"/>
            <w:noWrap/>
            <w:vAlign w:val="bottom"/>
            <w:hideMark/>
          </w:tcPr>
          <w:p w14:paraId="5A5B9133" w14:textId="77777777" w:rsidR="00E06EDE" w:rsidRPr="00501555" w:rsidRDefault="00E06EDE" w:rsidP="00E06EDE">
            <w:pPr>
              <w:spacing w:after="0"/>
              <w:jc w:val="right"/>
              <w:rPr>
                <w:rFonts w:ascii="Calibri" w:eastAsia="Times New Roman" w:hAnsi="Calibri" w:cs="Times New Roman"/>
                <w:color w:val="000000"/>
              </w:rPr>
            </w:pPr>
          </w:p>
        </w:tc>
      </w:tr>
      <w:tr w:rsidR="00E06EDE" w:rsidRPr="00E06EDE" w14:paraId="334B0039"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3916290B"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22315FD1"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14:paraId="5B35A014" w14:textId="77777777" w:rsidR="00E06EDE" w:rsidRPr="00E06EDE" w:rsidRDefault="00E06EDE" w:rsidP="00E06EDE">
            <w:pPr>
              <w:spacing w:after="0"/>
              <w:jc w:val="left"/>
              <w:rPr>
                <w:rFonts w:ascii="Calibri" w:eastAsia="Times New Roman" w:hAnsi="Calibri" w:cs="Times New Roman"/>
                <w:color w:val="000000"/>
              </w:rPr>
            </w:pPr>
          </w:p>
        </w:tc>
      </w:tr>
      <w:tr w:rsidR="00E06EDE" w:rsidRPr="00E06EDE" w14:paraId="595376CB"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5F546631" w14:textId="77777777" w:rsidR="00E06EDE" w:rsidRPr="00496055" w:rsidRDefault="00E06EDE" w:rsidP="00E06EDE">
            <w:pPr>
              <w:spacing w:after="0"/>
              <w:jc w:val="left"/>
              <w:rPr>
                <w:rFonts w:ascii="Calibri" w:eastAsia="Times New Roman" w:hAnsi="Calibri" w:cs="Times New Roman"/>
                <w:bCs/>
                <w:i/>
                <w:color w:val="000000"/>
              </w:rPr>
            </w:pPr>
            <w:r w:rsidRPr="00496055">
              <w:rPr>
                <w:rFonts w:ascii="Calibri" w:eastAsia="Times New Roman" w:hAnsi="Calibri" w:cs="Times New Roman"/>
                <w:bCs/>
                <w:i/>
                <w:color w:val="000000"/>
              </w:rPr>
              <w:t>HOME Administered by City (not included in IGA)</w:t>
            </w:r>
          </w:p>
        </w:tc>
        <w:tc>
          <w:tcPr>
            <w:tcW w:w="1439" w:type="dxa"/>
            <w:tcBorders>
              <w:top w:val="nil"/>
              <w:left w:val="nil"/>
              <w:bottom w:val="single" w:sz="4" w:space="0" w:color="auto"/>
              <w:right w:val="single" w:sz="4" w:space="0" w:color="auto"/>
            </w:tcBorders>
            <w:shd w:val="clear" w:color="auto" w:fill="auto"/>
            <w:noWrap/>
            <w:vAlign w:val="bottom"/>
            <w:hideMark/>
          </w:tcPr>
          <w:p w14:paraId="43E15DB0"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 </w:t>
            </w:r>
          </w:p>
        </w:tc>
        <w:tc>
          <w:tcPr>
            <w:tcW w:w="222" w:type="dxa"/>
            <w:tcBorders>
              <w:top w:val="nil"/>
              <w:left w:val="nil"/>
              <w:bottom w:val="nil"/>
              <w:right w:val="nil"/>
            </w:tcBorders>
            <w:shd w:val="clear" w:color="auto" w:fill="auto"/>
            <w:noWrap/>
            <w:vAlign w:val="bottom"/>
            <w:hideMark/>
          </w:tcPr>
          <w:p w14:paraId="37D3F464" w14:textId="77777777" w:rsidR="00E06EDE" w:rsidRPr="00E06EDE" w:rsidRDefault="00E06EDE" w:rsidP="00E06EDE">
            <w:pPr>
              <w:spacing w:after="0"/>
              <w:jc w:val="left"/>
              <w:rPr>
                <w:rFonts w:ascii="Calibri" w:eastAsia="Times New Roman" w:hAnsi="Calibri" w:cs="Times New Roman"/>
                <w:color w:val="000000"/>
              </w:rPr>
            </w:pPr>
          </w:p>
        </w:tc>
      </w:tr>
      <w:tr w:rsidR="00E06EDE" w:rsidRPr="00E06EDE" w14:paraId="5C3C7D32"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72013B1C"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Portland HOME Consortium Administrative Costs</w:t>
            </w:r>
          </w:p>
        </w:tc>
        <w:tc>
          <w:tcPr>
            <w:tcW w:w="1439" w:type="dxa"/>
            <w:tcBorders>
              <w:top w:val="nil"/>
              <w:left w:val="nil"/>
              <w:bottom w:val="single" w:sz="4" w:space="0" w:color="auto"/>
              <w:right w:val="single" w:sz="4" w:space="0" w:color="auto"/>
            </w:tcBorders>
            <w:shd w:val="clear" w:color="auto" w:fill="auto"/>
            <w:noWrap/>
            <w:vAlign w:val="bottom"/>
            <w:hideMark/>
          </w:tcPr>
          <w:p w14:paraId="34459A8F" w14:textId="4DA80AFD" w:rsidR="00E06EDE" w:rsidRPr="00496055" w:rsidRDefault="00E06EDE" w:rsidP="00E06EDE">
            <w:pPr>
              <w:spacing w:after="0"/>
              <w:jc w:val="right"/>
              <w:rPr>
                <w:rFonts w:ascii="Calibri" w:eastAsia="Times New Roman" w:hAnsi="Calibri" w:cs="Times New Roman"/>
                <w:color w:val="000000"/>
              </w:rPr>
            </w:pPr>
            <w:r w:rsidRPr="00496055">
              <w:rPr>
                <w:rFonts w:ascii="Calibri" w:eastAsia="Times New Roman" w:hAnsi="Calibri" w:cs="Times New Roman"/>
                <w:color w:val="000000"/>
              </w:rPr>
              <w:t>$</w:t>
            </w:r>
            <w:r w:rsidR="00093DEC" w:rsidRPr="00496055">
              <w:rPr>
                <w:rFonts w:ascii="Calibri" w:eastAsia="Times New Roman" w:hAnsi="Calibri" w:cs="Times New Roman"/>
                <w:color w:val="000000"/>
              </w:rPr>
              <w:t>34,255</w:t>
            </w:r>
            <w:r w:rsidRPr="00496055">
              <w:rPr>
                <w:rFonts w:ascii="Calibri" w:eastAsia="Times New Roman" w:hAnsi="Calibri" w:cs="Times New Roman"/>
                <w:color w:val="000000"/>
              </w:rPr>
              <w:t xml:space="preserve"> </w:t>
            </w:r>
          </w:p>
        </w:tc>
        <w:tc>
          <w:tcPr>
            <w:tcW w:w="222" w:type="dxa"/>
            <w:tcBorders>
              <w:top w:val="nil"/>
              <w:left w:val="nil"/>
              <w:bottom w:val="nil"/>
              <w:right w:val="nil"/>
            </w:tcBorders>
            <w:shd w:val="clear" w:color="auto" w:fill="auto"/>
            <w:noWrap/>
            <w:vAlign w:val="bottom"/>
            <w:hideMark/>
          </w:tcPr>
          <w:p w14:paraId="6D471D50" w14:textId="77777777" w:rsidR="00E06EDE" w:rsidRPr="00E06EDE" w:rsidRDefault="00E06EDE" w:rsidP="00E06EDE">
            <w:pPr>
              <w:spacing w:after="0"/>
              <w:jc w:val="right"/>
              <w:rPr>
                <w:rFonts w:ascii="Calibri" w:eastAsia="Times New Roman" w:hAnsi="Calibri" w:cs="Times New Roman"/>
                <w:color w:val="000000"/>
              </w:rPr>
            </w:pPr>
          </w:p>
        </w:tc>
      </w:tr>
      <w:tr w:rsidR="00E06EDE" w:rsidRPr="00E06EDE" w14:paraId="76D61CF8"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179BE02D" w14:textId="77777777" w:rsidR="00E06EDE" w:rsidRPr="00496055" w:rsidRDefault="00E06EDE" w:rsidP="00E06EDE">
            <w:pPr>
              <w:spacing w:after="0"/>
              <w:jc w:val="left"/>
              <w:rPr>
                <w:rFonts w:ascii="Calibri" w:eastAsia="Times New Roman" w:hAnsi="Calibri" w:cs="Times New Roman"/>
                <w:color w:val="000000"/>
              </w:rPr>
            </w:pPr>
            <w:r w:rsidRPr="00496055">
              <w:rPr>
                <w:rFonts w:ascii="Calibri" w:eastAsia="Times New Roman" w:hAnsi="Calibri" w:cs="Times New Roman"/>
                <w:color w:val="000000"/>
              </w:rPr>
              <w:t>Total Administered by Portland</w:t>
            </w:r>
          </w:p>
        </w:tc>
        <w:tc>
          <w:tcPr>
            <w:tcW w:w="1439" w:type="dxa"/>
            <w:tcBorders>
              <w:top w:val="nil"/>
              <w:left w:val="nil"/>
              <w:bottom w:val="single" w:sz="4" w:space="0" w:color="auto"/>
              <w:right w:val="single" w:sz="4" w:space="0" w:color="auto"/>
            </w:tcBorders>
            <w:shd w:val="clear" w:color="auto" w:fill="auto"/>
            <w:noWrap/>
            <w:vAlign w:val="bottom"/>
            <w:hideMark/>
          </w:tcPr>
          <w:p w14:paraId="51F3DF3C" w14:textId="03AB9CD5" w:rsidR="00E06EDE" w:rsidRPr="00496055" w:rsidRDefault="00E06EDE" w:rsidP="00E06EDE">
            <w:pPr>
              <w:spacing w:after="0"/>
              <w:jc w:val="right"/>
              <w:rPr>
                <w:rFonts w:ascii="Calibri" w:eastAsia="Times New Roman" w:hAnsi="Calibri" w:cs="Times New Roman"/>
                <w:i/>
                <w:color w:val="000000"/>
              </w:rPr>
            </w:pPr>
            <w:r w:rsidRPr="00496055">
              <w:rPr>
                <w:rFonts w:ascii="Calibri" w:eastAsia="Times New Roman" w:hAnsi="Calibri" w:cs="Times New Roman"/>
                <w:i/>
                <w:color w:val="000000"/>
              </w:rPr>
              <w:t>$</w:t>
            </w:r>
            <w:r w:rsidR="00093DEC" w:rsidRPr="00496055">
              <w:rPr>
                <w:rFonts w:ascii="Calibri" w:eastAsia="Times New Roman" w:hAnsi="Calibri" w:cs="Times New Roman"/>
                <w:i/>
                <w:color w:val="000000"/>
              </w:rPr>
              <w:t>34,255</w:t>
            </w:r>
          </w:p>
        </w:tc>
        <w:tc>
          <w:tcPr>
            <w:tcW w:w="222" w:type="dxa"/>
            <w:tcBorders>
              <w:top w:val="nil"/>
              <w:left w:val="nil"/>
              <w:bottom w:val="nil"/>
              <w:right w:val="nil"/>
            </w:tcBorders>
            <w:shd w:val="clear" w:color="auto" w:fill="auto"/>
            <w:noWrap/>
            <w:vAlign w:val="bottom"/>
            <w:hideMark/>
          </w:tcPr>
          <w:p w14:paraId="13C7E62E" w14:textId="77777777" w:rsidR="00E06EDE" w:rsidRPr="00E06EDE" w:rsidRDefault="00E06EDE" w:rsidP="00E06EDE">
            <w:pPr>
              <w:spacing w:after="0"/>
              <w:jc w:val="right"/>
              <w:rPr>
                <w:rFonts w:ascii="Calibri" w:eastAsia="Times New Roman" w:hAnsi="Calibri" w:cs="Times New Roman"/>
                <w:color w:val="000000"/>
              </w:rPr>
            </w:pPr>
          </w:p>
        </w:tc>
      </w:tr>
      <w:tr w:rsidR="00E06EDE" w:rsidRPr="00E06EDE" w14:paraId="6B85BB63" w14:textId="77777777" w:rsidTr="00857296">
        <w:trPr>
          <w:trHeight w:val="300"/>
        </w:trPr>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0F224105" w14:textId="60DDEA13" w:rsidR="00E06EDE" w:rsidRPr="00496055" w:rsidRDefault="00E06EDE" w:rsidP="00E06EDE">
            <w:pPr>
              <w:spacing w:after="0"/>
              <w:jc w:val="left"/>
              <w:rPr>
                <w:rFonts w:ascii="Calibri" w:eastAsia="Times New Roman" w:hAnsi="Calibri" w:cs="Times New Roman"/>
                <w:b/>
                <w:bCs/>
                <w:color w:val="000000"/>
              </w:rPr>
            </w:pPr>
            <w:r w:rsidRPr="00496055">
              <w:rPr>
                <w:rFonts w:ascii="Calibri" w:eastAsia="Times New Roman" w:hAnsi="Calibri" w:cs="Times New Roman"/>
                <w:b/>
                <w:bCs/>
                <w:color w:val="000000"/>
              </w:rPr>
              <w:t>Total</w:t>
            </w:r>
            <w:r w:rsidR="005B4B45" w:rsidRPr="00496055">
              <w:rPr>
                <w:rFonts w:ascii="Calibri" w:eastAsia="Times New Roman" w:hAnsi="Calibri" w:cs="Times New Roman"/>
                <w:b/>
                <w:bCs/>
                <w:color w:val="000000"/>
              </w:rPr>
              <w:t xml:space="preserve"> IGA</w:t>
            </w:r>
          </w:p>
        </w:tc>
        <w:tc>
          <w:tcPr>
            <w:tcW w:w="1439" w:type="dxa"/>
            <w:tcBorders>
              <w:top w:val="nil"/>
              <w:left w:val="nil"/>
              <w:bottom w:val="single" w:sz="4" w:space="0" w:color="auto"/>
              <w:right w:val="single" w:sz="4" w:space="0" w:color="auto"/>
            </w:tcBorders>
            <w:shd w:val="clear" w:color="auto" w:fill="auto"/>
            <w:noWrap/>
            <w:vAlign w:val="bottom"/>
            <w:hideMark/>
          </w:tcPr>
          <w:p w14:paraId="30251816" w14:textId="58A7CC25" w:rsidR="00E06EDE" w:rsidRPr="00496055" w:rsidRDefault="00E06EDE" w:rsidP="00E06EDE">
            <w:pPr>
              <w:spacing w:after="0"/>
              <w:jc w:val="right"/>
              <w:rPr>
                <w:rFonts w:ascii="Calibri" w:eastAsia="Times New Roman" w:hAnsi="Calibri" w:cs="Times New Roman"/>
                <w:b/>
                <w:bCs/>
                <w:color w:val="000000"/>
              </w:rPr>
            </w:pPr>
            <w:r w:rsidRPr="00496055">
              <w:rPr>
                <w:rFonts w:ascii="Calibri" w:eastAsia="Times New Roman" w:hAnsi="Calibri" w:cs="Times New Roman"/>
                <w:b/>
                <w:bCs/>
                <w:color w:val="000000"/>
              </w:rPr>
              <w:t>$1,</w:t>
            </w:r>
            <w:r w:rsidR="00DD4A19">
              <w:rPr>
                <w:rFonts w:ascii="Calibri" w:eastAsia="Times New Roman" w:hAnsi="Calibri" w:cs="Times New Roman"/>
                <w:b/>
                <w:bCs/>
                <w:color w:val="000000"/>
              </w:rPr>
              <w:t>114,052</w:t>
            </w:r>
            <w:r w:rsidRPr="00496055">
              <w:rPr>
                <w:rFonts w:ascii="Calibri" w:eastAsia="Times New Roman" w:hAnsi="Calibri" w:cs="Times New Roman"/>
                <w:b/>
                <w:bCs/>
                <w:color w:val="000000"/>
              </w:rPr>
              <w:t xml:space="preserve"> </w:t>
            </w:r>
          </w:p>
        </w:tc>
        <w:tc>
          <w:tcPr>
            <w:tcW w:w="222" w:type="dxa"/>
            <w:tcBorders>
              <w:top w:val="nil"/>
              <w:left w:val="nil"/>
              <w:bottom w:val="nil"/>
              <w:right w:val="nil"/>
            </w:tcBorders>
            <w:shd w:val="clear" w:color="auto" w:fill="auto"/>
            <w:noWrap/>
            <w:vAlign w:val="bottom"/>
            <w:hideMark/>
          </w:tcPr>
          <w:p w14:paraId="1A19D178" w14:textId="77777777" w:rsidR="00E06EDE" w:rsidRPr="00E06EDE" w:rsidRDefault="00E06EDE" w:rsidP="00E06EDE">
            <w:pPr>
              <w:spacing w:after="0"/>
              <w:jc w:val="right"/>
              <w:rPr>
                <w:rFonts w:ascii="Calibri" w:eastAsia="Times New Roman" w:hAnsi="Calibri" w:cs="Times New Roman"/>
                <w:b/>
                <w:bCs/>
                <w:color w:val="000000"/>
              </w:rPr>
            </w:pPr>
          </w:p>
        </w:tc>
      </w:tr>
    </w:tbl>
    <w:p w14:paraId="0472BA28" w14:textId="77777777" w:rsidR="000B6B02" w:rsidRDefault="000B6B02">
      <w:pPr>
        <w:rPr>
          <w:rFonts w:ascii="Arial" w:hAnsi="Arial" w:cs="Arial"/>
          <w:b/>
          <w:szCs w:val="24"/>
        </w:rPr>
      </w:pPr>
      <w:r>
        <w:rPr>
          <w:rFonts w:ascii="Arial" w:hAnsi="Arial" w:cs="Arial"/>
          <w:b/>
          <w:szCs w:val="24"/>
        </w:rPr>
        <w:br w:type="page"/>
      </w:r>
    </w:p>
    <w:p w14:paraId="405C474E" w14:textId="77777777" w:rsidR="007D77AB" w:rsidRPr="00554A93" w:rsidRDefault="007D77AB" w:rsidP="00554A93">
      <w:pPr>
        <w:rPr>
          <w:rFonts w:ascii="Arial" w:eastAsia="Times New Roman" w:hAnsi="Arial" w:cs="Arial"/>
          <w:b/>
          <w:sz w:val="24"/>
          <w:szCs w:val="24"/>
        </w:rPr>
      </w:pPr>
      <w:r w:rsidRPr="00554A93">
        <w:rPr>
          <w:rFonts w:ascii="Arial" w:hAnsi="Arial" w:cs="Arial"/>
          <w:b/>
          <w:szCs w:val="24"/>
        </w:rPr>
        <w:lastRenderedPageBreak/>
        <w:t>EXHIBIT B</w:t>
      </w:r>
    </w:p>
    <w:p w14:paraId="2F284CB6" w14:textId="77777777" w:rsidR="007D77AB" w:rsidRPr="00240322" w:rsidRDefault="007D77AB" w:rsidP="007D77AB">
      <w:pPr>
        <w:pStyle w:val="Title"/>
        <w:ind w:right="-720"/>
        <w:rPr>
          <w:rFonts w:ascii="Arial" w:hAnsi="Arial" w:cs="Arial"/>
          <w:sz w:val="24"/>
          <w:szCs w:val="24"/>
        </w:rPr>
      </w:pPr>
      <w:r w:rsidRPr="00240322">
        <w:rPr>
          <w:rFonts w:ascii="Arial" w:hAnsi="Arial" w:cs="Arial"/>
          <w:sz w:val="24"/>
          <w:szCs w:val="24"/>
        </w:rPr>
        <w:t>HOME MWESB CONTRACTOR INFORMATION</w:t>
      </w:r>
    </w:p>
    <w:p w14:paraId="38139FA2" w14:textId="3C077E06" w:rsidR="007D77AB" w:rsidRPr="00240322" w:rsidRDefault="007D77AB" w:rsidP="007D77AB">
      <w:pPr>
        <w:ind w:right="-720"/>
        <w:rPr>
          <w:rFonts w:ascii="Arial" w:hAnsi="Arial" w:cs="Arial"/>
          <w:b/>
          <w:sz w:val="24"/>
          <w:szCs w:val="24"/>
        </w:rPr>
      </w:pPr>
      <w:r w:rsidRPr="00240322">
        <w:rPr>
          <w:rFonts w:ascii="Arial" w:hAnsi="Arial" w:cs="Arial"/>
          <w:b/>
          <w:sz w:val="24"/>
          <w:szCs w:val="24"/>
        </w:rPr>
        <w:t>Reporting Period:  July 1, 20</w:t>
      </w:r>
      <w:r w:rsidR="00D76CE9">
        <w:rPr>
          <w:rFonts w:ascii="Arial" w:hAnsi="Arial" w:cs="Arial"/>
          <w:b/>
          <w:sz w:val="24"/>
          <w:szCs w:val="24"/>
        </w:rPr>
        <w:t>2</w:t>
      </w:r>
      <w:r w:rsidR="00431576">
        <w:rPr>
          <w:rFonts w:ascii="Arial" w:hAnsi="Arial" w:cs="Arial"/>
          <w:b/>
          <w:sz w:val="24"/>
          <w:szCs w:val="24"/>
        </w:rPr>
        <w:t>1</w:t>
      </w:r>
      <w:r w:rsidRPr="00240322">
        <w:rPr>
          <w:rFonts w:ascii="Arial" w:hAnsi="Arial" w:cs="Arial"/>
          <w:b/>
          <w:sz w:val="24"/>
          <w:szCs w:val="24"/>
        </w:rPr>
        <w:t xml:space="preserve"> – June 30, 20</w:t>
      </w:r>
      <w:r w:rsidR="00D76CE9">
        <w:rPr>
          <w:rFonts w:ascii="Arial" w:hAnsi="Arial" w:cs="Arial"/>
          <w:b/>
          <w:sz w:val="24"/>
          <w:szCs w:val="24"/>
        </w:rPr>
        <w:t>2</w:t>
      </w:r>
      <w:r w:rsidR="00431576">
        <w:rPr>
          <w:rFonts w:ascii="Arial" w:hAnsi="Arial" w:cs="Arial"/>
          <w:b/>
          <w:sz w:val="24"/>
          <w:szCs w:val="24"/>
        </w:rPr>
        <w:t>2</w:t>
      </w:r>
    </w:p>
    <w:p w14:paraId="63DFE88F" w14:textId="77777777" w:rsidR="007D77AB" w:rsidRPr="00240322" w:rsidRDefault="007D77AB" w:rsidP="007D77AB">
      <w:pPr>
        <w:rPr>
          <w:rFonts w:ascii="Arial" w:hAnsi="Arial" w:cs="Arial"/>
          <w:b/>
          <w:sz w:val="24"/>
          <w:szCs w:val="24"/>
        </w:rPr>
      </w:pPr>
    </w:p>
    <w:p w14:paraId="1FE9A692" w14:textId="77777777" w:rsidR="007D77AB" w:rsidRPr="00240322" w:rsidRDefault="007D77AB" w:rsidP="007D77AB">
      <w:pPr>
        <w:ind w:right="-990"/>
        <w:rPr>
          <w:rFonts w:ascii="Arial" w:hAnsi="Arial" w:cs="Arial"/>
          <w:sz w:val="24"/>
          <w:szCs w:val="24"/>
        </w:rPr>
      </w:pPr>
      <w:r w:rsidRPr="00240322">
        <w:rPr>
          <w:rFonts w:ascii="Arial" w:hAnsi="Arial" w:cs="Arial"/>
          <w:sz w:val="24"/>
          <w:szCs w:val="24"/>
        </w:rPr>
        <w:t xml:space="preserve">Please complete this form for each HOME-funded Project that was </w:t>
      </w:r>
      <w:r w:rsidRPr="00240322">
        <w:rPr>
          <w:rFonts w:ascii="Arial" w:hAnsi="Arial" w:cs="Arial"/>
          <w:sz w:val="24"/>
          <w:szCs w:val="24"/>
          <w:u w:val="single"/>
        </w:rPr>
        <w:t>completed</w:t>
      </w:r>
      <w:r w:rsidRPr="00240322">
        <w:rPr>
          <w:rFonts w:ascii="Arial" w:hAnsi="Arial" w:cs="Arial"/>
          <w:sz w:val="24"/>
          <w:szCs w:val="24"/>
        </w:rPr>
        <w:t xml:space="preserve"> during the reporting period.</w:t>
      </w:r>
    </w:p>
    <w:p w14:paraId="61A7E2BD" w14:textId="77777777" w:rsidR="007D77AB" w:rsidRPr="00240322" w:rsidRDefault="007D77AB" w:rsidP="007D77AB">
      <w:pPr>
        <w:ind w:right="-990"/>
        <w:rPr>
          <w:rFonts w:ascii="Arial" w:hAnsi="Arial" w:cs="Arial"/>
          <w:sz w:val="24"/>
          <w:szCs w:val="24"/>
        </w:rPr>
      </w:pPr>
      <w:r w:rsidRPr="00240322">
        <w:rPr>
          <w:rFonts w:ascii="Arial" w:hAnsi="Arial" w:cs="Arial"/>
          <w:sz w:val="24"/>
          <w:szCs w:val="24"/>
        </w:rPr>
        <w:t>Include information about all contracts involved in the development of the project</w:t>
      </w:r>
    </w:p>
    <w:p w14:paraId="00B2533E" w14:textId="77777777" w:rsidR="007D77AB" w:rsidRPr="00240322" w:rsidRDefault="007D77AB" w:rsidP="007D77AB">
      <w:pPr>
        <w:rPr>
          <w:rFonts w:ascii="Arial" w:hAnsi="Arial" w:cs="Arial"/>
          <w:b/>
          <w:sz w:val="24"/>
          <w:szCs w:val="24"/>
        </w:rPr>
      </w:pPr>
    </w:p>
    <w:p w14:paraId="5430182F" w14:textId="77777777" w:rsidR="007D77AB" w:rsidRPr="00240322" w:rsidRDefault="007D77AB" w:rsidP="007D77AB">
      <w:pPr>
        <w:rPr>
          <w:rFonts w:ascii="Arial" w:hAnsi="Arial" w:cs="Arial"/>
          <w:b/>
          <w:sz w:val="24"/>
          <w:szCs w:val="24"/>
          <w:u w:val="single"/>
        </w:rPr>
      </w:pPr>
      <w:r w:rsidRPr="00240322">
        <w:rPr>
          <w:rFonts w:ascii="Arial" w:hAnsi="Arial" w:cs="Arial"/>
          <w:b/>
          <w:sz w:val="24"/>
          <w:szCs w:val="24"/>
        </w:rPr>
        <w:t>Person Completing This Form and Phone Number:</w:t>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p>
    <w:p w14:paraId="541CB8C9" w14:textId="77777777" w:rsidR="007D77AB" w:rsidRPr="00240322" w:rsidRDefault="007D77AB" w:rsidP="007D77AB">
      <w:pPr>
        <w:rPr>
          <w:rFonts w:ascii="Arial" w:hAnsi="Arial" w:cs="Arial"/>
          <w:b/>
          <w:sz w:val="24"/>
          <w:szCs w:val="24"/>
        </w:rPr>
      </w:pPr>
    </w:p>
    <w:p w14:paraId="6CE9EA08" w14:textId="77777777" w:rsidR="007D77AB" w:rsidRPr="00240322" w:rsidRDefault="007D77AB" w:rsidP="007D77AB">
      <w:pPr>
        <w:rPr>
          <w:rFonts w:ascii="Arial" w:hAnsi="Arial" w:cs="Arial"/>
          <w:b/>
          <w:sz w:val="24"/>
          <w:szCs w:val="24"/>
          <w:u w:val="single"/>
        </w:rPr>
      </w:pPr>
      <w:r w:rsidRPr="00240322">
        <w:rPr>
          <w:rFonts w:ascii="Arial" w:hAnsi="Arial" w:cs="Arial"/>
          <w:b/>
          <w:sz w:val="24"/>
          <w:szCs w:val="24"/>
        </w:rPr>
        <w:t>Project Name:</w:t>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p>
    <w:p w14:paraId="64C42E23" w14:textId="77777777" w:rsidR="007D77AB" w:rsidRPr="00240322" w:rsidRDefault="007D77AB" w:rsidP="007D77AB">
      <w:pPr>
        <w:rPr>
          <w:rFonts w:ascii="Arial" w:hAnsi="Arial" w:cs="Arial"/>
          <w:b/>
          <w:sz w:val="24"/>
          <w:szCs w:val="24"/>
        </w:rPr>
      </w:pPr>
    </w:p>
    <w:p w14:paraId="552AF105" w14:textId="77777777" w:rsidR="007D77AB" w:rsidRPr="00240322" w:rsidRDefault="007D77AB" w:rsidP="007D77AB">
      <w:pPr>
        <w:rPr>
          <w:rFonts w:ascii="Arial" w:hAnsi="Arial" w:cs="Arial"/>
          <w:b/>
          <w:sz w:val="24"/>
          <w:szCs w:val="24"/>
          <w:u w:val="single"/>
        </w:rPr>
      </w:pPr>
      <w:r w:rsidRPr="00240322">
        <w:rPr>
          <w:rFonts w:ascii="Arial" w:hAnsi="Arial" w:cs="Arial"/>
          <w:b/>
          <w:sz w:val="24"/>
          <w:szCs w:val="24"/>
        </w:rPr>
        <w:t>Project Address:</w:t>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r w:rsidRPr="00240322">
        <w:rPr>
          <w:rFonts w:ascii="Arial" w:hAnsi="Arial" w:cs="Arial"/>
          <w:b/>
          <w:sz w:val="24"/>
          <w:szCs w:val="24"/>
          <w:u w:val="single"/>
        </w:rPr>
        <w:tab/>
      </w:r>
    </w:p>
    <w:p w14:paraId="6B6D33C4" w14:textId="77777777" w:rsidR="007D77AB" w:rsidRPr="00240322" w:rsidRDefault="007D77AB" w:rsidP="007D77AB">
      <w:pPr>
        <w:rPr>
          <w:rFonts w:ascii="Arial" w:hAnsi="Arial" w:cs="Arial"/>
          <w:b/>
          <w:sz w:val="24"/>
          <w:szCs w:val="24"/>
          <w:u w:val="single"/>
        </w:rPr>
      </w:pPr>
    </w:p>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877"/>
        <w:gridCol w:w="1193"/>
        <w:gridCol w:w="810"/>
        <w:gridCol w:w="4410"/>
        <w:gridCol w:w="990"/>
      </w:tblGrid>
      <w:tr w:rsidR="007D77AB" w:rsidRPr="00240322" w14:paraId="4EE668D4" w14:textId="77777777" w:rsidTr="00386451">
        <w:trPr>
          <w:cantSplit/>
          <w:trHeight w:val="540"/>
        </w:trPr>
        <w:tc>
          <w:tcPr>
            <w:tcW w:w="3240" w:type="dxa"/>
            <w:vMerge w:val="restart"/>
            <w:vAlign w:val="bottom"/>
          </w:tcPr>
          <w:p w14:paraId="5767D612" w14:textId="77777777" w:rsidR="007D77AB" w:rsidRPr="00240322" w:rsidRDefault="007D77AB" w:rsidP="00AE2563">
            <w:pPr>
              <w:rPr>
                <w:rFonts w:ascii="Arial" w:hAnsi="Arial" w:cs="Arial"/>
                <w:b/>
                <w:sz w:val="24"/>
                <w:szCs w:val="24"/>
              </w:rPr>
            </w:pPr>
            <w:r w:rsidRPr="00240322">
              <w:rPr>
                <w:rFonts w:ascii="Arial" w:hAnsi="Arial" w:cs="Arial"/>
                <w:b/>
                <w:sz w:val="24"/>
                <w:szCs w:val="24"/>
              </w:rPr>
              <w:t>Contractor (check if Sub)</w:t>
            </w:r>
          </w:p>
          <w:p w14:paraId="458C51B9" w14:textId="77777777" w:rsidR="007D77AB" w:rsidRPr="00240322" w:rsidRDefault="007D77AB" w:rsidP="00AE2563">
            <w:pPr>
              <w:rPr>
                <w:rFonts w:ascii="Arial" w:hAnsi="Arial" w:cs="Arial"/>
                <w:b/>
                <w:sz w:val="24"/>
                <w:szCs w:val="24"/>
              </w:rPr>
            </w:pPr>
          </w:p>
          <w:p w14:paraId="3327F03D" w14:textId="77777777" w:rsidR="007D77AB" w:rsidRPr="00240322" w:rsidRDefault="007D77AB" w:rsidP="00AE2563">
            <w:pPr>
              <w:rPr>
                <w:rFonts w:ascii="Arial" w:hAnsi="Arial" w:cs="Arial"/>
                <w:b/>
                <w:sz w:val="24"/>
                <w:szCs w:val="24"/>
              </w:rPr>
            </w:pPr>
            <w:r w:rsidRPr="00240322">
              <w:rPr>
                <w:rFonts w:ascii="Arial" w:hAnsi="Arial" w:cs="Arial"/>
                <w:b/>
                <w:sz w:val="24"/>
                <w:szCs w:val="24"/>
              </w:rPr>
              <w:t>Name and Phone Number</w:t>
            </w:r>
          </w:p>
        </w:tc>
        <w:tc>
          <w:tcPr>
            <w:tcW w:w="877" w:type="dxa"/>
            <w:vMerge w:val="restart"/>
            <w:vAlign w:val="bottom"/>
          </w:tcPr>
          <w:p w14:paraId="1E381952" w14:textId="77777777" w:rsidR="007D77AB" w:rsidRPr="00240322" w:rsidRDefault="007D77AB" w:rsidP="00AE2563">
            <w:pPr>
              <w:pStyle w:val="Heading1"/>
              <w:numPr>
                <w:ilvl w:val="0"/>
                <w:numId w:val="0"/>
              </w:numPr>
              <w:tabs>
                <w:tab w:val="clear" w:pos="720"/>
                <w:tab w:val="clear" w:pos="1440"/>
                <w:tab w:val="clear" w:pos="2160"/>
                <w:tab w:val="clear" w:pos="7200"/>
              </w:tabs>
              <w:jc w:val="center"/>
              <w:rPr>
                <w:rFonts w:ascii="Arial" w:hAnsi="Arial" w:cs="Arial"/>
                <w:szCs w:val="24"/>
              </w:rPr>
            </w:pPr>
            <w:r w:rsidRPr="00240322">
              <w:rPr>
                <w:rFonts w:ascii="Arial" w:hAnsi="Arial" w:cs="Arial"/>
                <w:szCs w:val="24"/>
              </w:rPr>
              <w:t>Sub</w:t>
            </w:r>
          </w:p>
          <w:p w14:paraId="69302B5D" w14:textId="77777777" w:rsidR="007D77AB" w:rsidRPr="00240322" w:rsidRDefault="007D77AB" w:rsidP="00AE2563">
            <w:pPr>
              <w:widowControl w:val="0"/>
              <w:numPr>
                <w:ilvl w:val="0"/>
                <w:numId w:val="4"/>
              </w:numPr>
              <w:spacing w:after="0"/>
              <w:rPr>
                <w:rFonts w:ascii="Arial" w:hAnsi="Arial" w:cs="Arial"/>
                <w:b/>
                <w:sz w:val="24"/>
                <w:szCs w:val="24"/>
              </w:rPr>
            </w:pPr>
          </w:p>
        </w:tc>
        <w:tc>
          <w:tcPr>
            <w:tcW w:w="1193" w:type="dxa"/>
            <w:vMerge w:val="restart"/>
            <w:vAlign w:val="bottom"/>
          </w:tcPr>
          <w:p w14:paraId="77FC810C" w14:textId="77777777" w:rsidR="007D77AB" w:rsidRPr="00240322" w:rsidRDefault="007D77AB" w:rsidP="00AE2563">
            <w:pPr>
              <w:rPr>
                <w:rFonts w:ascii="Arial" w:hAnsi="Arial" w:cs="Arial"/>
                <w:b/>
                <w:sz w:val="24"/>
                <w:szCs w:val="24"/>
              </w:rPr>
            </w:pPr>
            <w:r w:rsidRPr="00240322">
              <w:rPr>
                <w:rFonts w:ascii="Arial" w:hAnsi="Arial" w:cs="Arial"/>
                <w:b/>
                <w:sz w:val="24"/>
                <w:szCs w:val="24"/>
              </w:rPr>
              <w:t>IGA Amount $</w:t>
            </w:r>
          </w:p>
        </w:tc>
        <w:tc>
          <w:tcPr>
            <w:tcW w:w="6210" w:type="dxa"/>
            <w:gridSpan w:val="3"/>
            <w:vAlign w:val="bottom"/>
          </w:tcPr>
          <w:p w14:paraId="2CEFA9A3" w14:textId="77777777" w:rsidR="007D77AB" w:rsidRPr="00240322" w:rsidRDefault="007D77AB" w:rsidP="00AE2563">
            <w:pPr>
              <w:pStyle w:val="BodyText"/>
              <w:rPr>
                <w:rFonts w:ascii="Arial" w:hAnsi="Arial" w:cs="Arial"/>
                <w:b w:val="0"/>
                <w:szCs w:val="24"/>
              </w:rPr>
            </w:pPr>
            <w:r w:rsidRPr="00240322">
              <w:rPr>
                <w:rFonts w:ascii="Arial" w:hAnsi="Arial" w:cs="Arial"/>
                <w:b w:val="0"/>
                <w:szCs w:val="24"/>
              </w:rPr>
              <w:t xml:space="preserve">Complete for each contract and subcontract on this project based upon the status of the business enterprise </w:t>
            </w:r>
          </w:p>
          <w:p w14:paraId="014BAADC" w14:textId="77777777" w:rsidR="007D77AB" w:rsidRPr="00240322" w:rsidRDefault="007D77AB" w:rsidP="00AE2563">
            <w:pPr>
              <w:pStyle w:val="BodyText"/>
              <w:rPr>
                <w:rFonts w:ascii="Arial" w:hAnsi="Arial" w:cs="Arial"/>
                <w:b w:val="0"/>
                <w:szCs w:val="24"/>
              </w:rPr>
            </w:pPr>
            <w:r w:rsidRPr="00240322">
              <w:rPr>
                <w:rFonts w:ascii="Arial" w:hAnsi="Arial" w:cs="Arial"/>
                <w:b w:val="0"/>
                <w:szCs w:val="24"/>
              </w:rPr>
              <w:t>(whether it is minority or women owned)</w:t>
            </w:r>
          </w:p>
        </w:tc>
      </w:tr>
      <w:tr w:rsidR="007D77AB" w:rsidRPr="00240322" w14:paraId="34EB4F47" w14:textId="77777777" w:rsidTr="00386451">
        <w:trPr>
          <w:cantSplit/>
          <w:trHeight w:val="710"/>
        </w:trPr>
        <w:tc>
          <w:tcPr>
            <w:tcW w:w="3240" w:type="dxa"/>
            <w:vMerge/>
          </w:tcPr>
          <w:p w14:paraId="78505B9D" w14:textId="77777777" w:rsidR="007D77AB" w:rsidRPr="00240322" w:rsidRDefault="007D77AB" w:rsidP="00AE2563">
            <w:pPr>
              <w:rPr>
                <w:rFonts w:ascii="Arial" w:hAnsi="Arial" w:cs="Arial"/>
                <w:b/>
                <w:sz w:val="24"/>
                <w:szCs w:val="24"/>
              </w:rPr>
            </w:pPr>
          </w:p>
        </w:tc>
        <w:tc>
          <w:tcPr>
            <w:tcW w:w="877" w:type="dxa"/>
            <w:vMerge/>
          </w:tcPr>
          <w:p w14:paraId="3DD79018" w14:textId="77777777" w:rsidR="007D77AB" w:rsidRPr="00240322" w:rsidRDefault="007D77AB" w:rsidP="00AE2563">
            <w:pPr>
              <w:pStyle w:val="Heading1"/>
              <w:numPr>
                <w:ilvl w:val="0"/>
                <w:numId w:val="10"/>
              </w:numPr>
              <w:rPr>
                <w:rFonts w:ascii="Arial" w:hAnsi="Arial" w:cs="Arial"/>
                <w:szCs w:val="24"/>
              </w:rPr>
            </w:pPr>
          </w:p>
        </w:tc>
        <w:tc>
          <w:tcPr>
            <w:tcW w:w="1193" w:type="dxa"/>
            <w:vMerge/>
          </w:tcPr>
          <w:p w14:paraId="11BFBE84" w14:textId="77777777" w:rsidR="007D77AB" w:rsidRPr="00240322" w:rsidRDefault="007D77AB" w:rsidP="00AE2563">
            <w:pPr>
              <w:rPr>
                <w:rFonts w:ascii="Arial" w:hAnsi="Arial" w:cs="Arial"/>
                <w:b/>
                <w:sz w:val="24"/>
                <w:szCs w:val="24"/>
              </w:rPr>
            </w:pPr>
          </w:p>
        </w:tc>
        <w:tc>
          <w:tcPr>
            <w:tcW w:w="810" w:type="dxa"/>
            <w:vAlign w:val="bottom"/>
          </w:tcPr>
          <w:p w14:paraId="03FC809C" w14:textId="77777777" w:rsidR="007D77AB" w:rsidRPr="00240322" w:rsidRDefault="007D77AB" w:rsidP="00AE2563">
            <w:pPr>
              <w:pStyle w:val="Heading1"/>
              <w:numPr>
                <w:ilvl w:val="0"/>
                <w:numId w:val="0"/>
              </w:numPr>
              <w:tabs>
                <w:tab w:val="clear" w:pos="720"/>
              </w:tabs>
              <w:ind w:left="40"/>
              <w:jc w:val="center"/>
              <w:rPr>
                <w:rFonts w:ascii="Arial" w:hAnsi="Arial" w:cs="Arial"/>
                <w:szCs w:val="24"/>
              </w:rPr>
            </w:pPr>
            <w:r w:rsidRPr="00240322">
              <w:rPr>
                <w:rFonts w:ascii="Arial" w:hAnsi="Arial" w:cs="Arial"/>
                <w:szCs w:val="24"/>
              </w:rPr>
              <w:t>MBE</w:t>
            </w:r>
          </w:p>
          <w:p w14:paraId="08DE8C0F" w14:textId="77777777" w:rsidR="007D77AB" w:rsidRPr="00240322" w:rsidRDefault="007D77AB" w:rsidP="00AE2563">
            <w:pPr>
              <w:widowControl w:val="0"/>
              <w:numPr>
                <w:ilvl w:val="0"/>
                <w:numId w:val="5"/>
              </w:numPr>
              <w:spacing w:after="0"/>
              <w:rPr>
                <w:rFonts w:ascii="Arial" w:hAnsi="Arial" w:cs="Arial"/>
                <w:b/>
                <w:sz w:val="24"/>
                <w:szCs w:val="24"/>
              </w:rPr>
            </w:pPr>
          </w:p>
        </w:tc>
        <w:tc>
          <w:tcPr>
            <w:tcW w:w="4410" w:type="dxa"/>
            <w:vAlign w:val="bottom"/>
          </w:tcPr>
          <w:p w14:paraId="5CAFD571" w14:textId="77777777" w:rsidR="007D77AB" w:rsidRPr="00240322" w:rsidRDefault="007D77AB" w:rsidP="00AE2563">
            <w:pPr>
              <w:pStyle w:val="Heading1"/>
              <w:numPr>
                <w:ilvl w:val="0"/>
                <w:numId w:val="0"/>
              </w:numPr>
              <w:ind w:left="576" w:hanging="576"/>
              <w:jc w:val="center"/>
              <w:rPr>
                <w:rFonts w:ascii="Arial" w:hAnsi="Arial" w:cs="Arial"/>
                <w:szCs w:val="24"/>
              </w:rPr>
            </w:pPr>
            <w:r w:rsidRPr="00240322">
              <w:rPr>
                <w:rFonts w:ascii="Arial" w:hAnsi="Arial" w:cs="Arial"/>
                <w:szCs w:val="24"/>
              </w:rPr>
              <w:t>Race/Ethnicity of Owner</w:t>
            </w:r>
          </w:p>
          <w:p w14:paraId="609C4084" w14:textId="77777777" w:rsidR="007D77AB" w:rsidRPr="00240322" w:rsidRDefault="007D77AB" w:rsidP="00AE2563">
            <w:pPr>
              <w:rPr>
                <w:rFonts w:ascii="Arial" w:hAnsi="Arial" w:cs="Arial"/>
                <w:sz w:val="24"/>
                <w:szCs w:val="24"/>
              </w:rPr>
            </w:pPr>
            <w:r w:rsidRPr="00240322">
              <w:rPr>
                <w:rFonts w:ascii="Arial" w:hAnsi="Arial" w:cs="Arial"/>
                <w:sz w:val="24"/>
                <w:szCs w:val="24"/>
              </w:rPr>
              <w:t xml:space="preserve">(Alaska Native or Native American, Asian or Pac. Islander, Black Non-Hispanic, Hispanic, </w:t>
            </w:r>
          </w:p>
          <w:p w14:paraId="6563FA71" w14:textId="77777777" w:rsidR="007D77AB" w:rsidRPr="00240322" w:rsidRDefault="007D77AB" w:rsidP="00AE2563">
            <w:pPr>
              <w:rPr>
                <w:rFonts w:ascii="Arial" w:hAnsi="Arial" w:cs="Arial"/>
                <w:sz w:val="24"/>
                <w:szCs w:val="24"/>
              </w:rPr>
            </w:pPr>
            <w:r w:rsidRPr="00240322">
              <w:rPr>
                <w:rFonts w:ascii="Arial" w:hAnsi="Arial" w:cs="Arial"/>
                <w:sz w:val="24"/>
                <w:szCs w:val="24"/>
              </w:rPr>
              <w:t>White Non-Hispanic)</w:t>
            </w:r>
          </w:p>
        </w:tc>
        <w:tc>
          <w:tcPr>
            <w:tcW w:w="990" w:type="dxa"/>
            <w:vAlign w:val="bottom"/>
          </w:tcPr>
          <w:p w14:paraId="478BAFDF" w14:textId="77777777" w:rsidR="007D77AB" w:rsidRPr="00240322" w:rsidRDefault="007D77AB" w:rsidP="00AE2563">
            <w:pPr>
              <w:pStyle w:val="Heading1"/>
              <w:numPr>
                <w:ilvl w:val="0"/>
                <w:numId w:val="0"/>
              </w:numPr>
              <w:tabs>
                <w:tab w:val="clear" w:pos="720"/>
              </w:tabs>
              <w:ind w:left="-18"/>
              <w:jc w:val="center"/>
              <w:rPr>
                <w:rFonts w:ascii="Arial" w:hAnsi="Arial" w:cs="Arial"/>
                <w:szCs w:val="24"/>
              </w:rPr>
            </w:pPr>
            <w:r w:rsidRPr="00240322">
              <w:rPr>
                <w:rFonts w:ascii="Arial" w:hAnsi="Arial" w:cs="Arial"/>
                <w:szCs w:val="24"/>
              </w:rPr>
              <w:t>WBE</w:t>
            </w:r>
          </w:p>
          <w:p w14:paraId="54E6CA4A" w14:textId="77777777" w:rsidR="007D77AB" w:rsidRPr="00240322" w:rsidRDefault="007D77AB" w:rsidP="00AE2563">
            <w:pPr>
              <w:widowControl w:val="0"/>
              <w:numPr>
                <w:ilvl w:val="0"/>
                <w:numId w:val="6"/>
              </w:numPr>
              <w:spacing w:after="0"/>
              <w:rPr>
                <w:rFonts w:ascii="Arial" w:hAnsi="Arial" w:cs="Arial"/>
                <w:sz w:val="24"/>
                <w:szCs w:val="24"/>
              </w:rPr>
            </w:pPr>
          </w:p>
        </w:tc>
      </w:tr>
      <w:tr w:rsidR="007D77AB" w:rsidRPr="00240322" w14:paraId="3EBA6503" w14:textId="77777777" w:rsidTr="00386451">
        <w:trPr>
          <w:trHeight w:val="768"/>
        </w:trPr>
        <w:tc>
          <w:tcPr>
            <w:tcW w:w="3240" w:type="dxa"/>
          </w:tcPr>
          <w:p w14:paraId="424D1AD4" w14:textId="77777777" w:rsidR="007D77AB" w:rsidRPr="00240322" w:rsidRDefault="007D77AB" w:rsidP="00AE2563">
            <w:pPr>
              <w:rPr>
                <w:rFonts w:ascii="Arial" w:hAnsi="Arial" w:cs="Arial"/>
                <w:b/>
                <w:sz w:val="24"/>
                <w:szCs w:val="24"/>
              </w:rPr>
            </w:pPr>
          </w:p>
        </w:tc>
        <w:tc>
          <w:tcPr>
            <w:tcW w:w="877" w:type="dxa"/>
          </w:tcPr>
          <w:p w14:paraId="230B0E29" w14:textId="77777777" w:rsidR="007D77AB" w:rsidRPr="00240322" w:rsidRDefault="007D77AB" w:rsidP="00AE2563">
            <w:pPr>
              <w:rPr>
                <w:rFonts w:ascii="Arial" w:hAnsi="Arial" w:cs="Arial"/>
                <w:b/>
                <w:sz w:val="24"/>
                <w:szCs w:val="24"/>
              </w:rPr>
            </w:pPr>
          </w:p>
        </w:tc>
        <w:tc>
          <w:tcPr>
            <w:tcW w:w="1193" w:type="dxa"/>
          </w:tcPr>
          <w:p w14:paraId="7A2AF7E2" w14:textId="77777777" w:rsidR="007D77AB" w:rsidRPr="00240322" w:rsidRDefault="007D77AB" w:rsidP="00AE2563">
            <w:pPr>
              <w:rPr>
                <w:rFonts w:ascii="Arial" w:hAnsi="Arial" w:cs="Arial"/>
                <w:b/>
                <w:sz w:val="24"/>
                <w:szCs w:val="24"/>
              </w:rPr>
            </w:pPr>
          </w:p>
        </w:tc>
        <w:tc>
          <w:tcPr>
            <w:tcW w:w="810" w:type="dxa"/>
          </w:tcPr>
          <w:p w14:paraId="5D7493C2" w14:textId="77777777" w:rsidR="007D77AB" w:rsidRPr="00240322" w:rsidRDefault="007D77AB" w:rsidP="00AE2563">
            <w:pPr>
              <w:rPr>
                <w:rFonts w:ascii="Arial" w:hAnsi="Arial" w:cs="Arial"/>
                <w:b/>
                <w:sz w:val="24"/>
                <w:szCs w:val="24"/>
              </w:rPr>
            </w:pPr>
          </w:p>
        </w:tc>
        <w:tc>
          <w:tcPr>
            <w:tcW w:w="4410" w:type="dxa"/>
          </w:tcPr>
          <w:p w14:paraId="5C5560A7" w14:textId="77777777" w:rsidR="007D77AB" w:rsidRPr="00240322" w:rsidRDefault="007D77AB" w:rsidP="00AE2563">
            <w:pPr>
              <w:rPr>
                <w:rFonts w:ascii="Arial" w:hAnsi="Arial" w:cs="Arial"/>
                <w:b/>
                <w:sz w:val="24"/>
                <w:szCs w:val="24"/>
              </w:rPr>
            </w:pPr>
          </w:p>
        </w:tc>
        <w:tc>
          <w:tcPr>
            <w:tcW w:w="990" w:type="dxa"/>
          </w:tcPr>
          <w:p w14:paraId="5269C514" w14:textId="77777777" w:rsidR="007D77AB" w:rsidRPr="00240322" w:rsidRDefault="007D77AB" w:rsidP="00AE2563">
            <w:pPr>
              <w:rPr>
                <w:rFonts w:ascii="Arial" w:hAnsi="Arial" w:cs="Arial"/>
                <w:b/>
                <w:sz w:val="24"/>
                <w:szCs w:val="24"/>
              </w:rPr>
            </w:pPr>
          </w:p>
        </w:tc>
      </w:tr>
      <w:tr w:rsidR="007D77AB" w:rsidRPr="00240322" w14:paraId="76550797" w14:textId="77777777" w:rsidTr="00386451">
        <w:trPr>
          <w:trHeight w:val="769"/>
        </w:trPr>
        <w:tc>
          <w:tcPr>
            <w:tcW w:w="3240" w:type="dxa"/>
          </w:tcPr>
          <w:p w14:paraId="0FC1E847" w14:textId="77777777" w:rsidR="007D77AB" w:rsidRPr="00240322" w:rsidRDefault="007D77AB" w:rsidP="00AE2563">
            <w:pPr>
              <w:rPr>
                <w:rFonts w:ascii="Arial" w:hAnsi="Arial" w:cs="Arial"/>
                <w:b/>
                <w:sz w:val="24"/>
                <w:szCs w:val="24"/>
              </w:rPr>
            </w:pPr>
          </w:p>
        </w:tc>
        <w:tc>
          <w:tcPr>
            <w:tcW w:w="877" w:type="dxa"/>
          </w:tcPr>
          <w:p w14:paraId="1CF8AA83" w14:textId="77777777" w:rsidR="007D77AB" w:rsidRPr="00240322" w:rsidRDefault="007D77AB" w:rsidP="00AE2563">
            <w:pPr>
              <w:rPr>
                <w:rFonts w:ascii="Arial" w:hAnsi="Arial" w:cs="Arial"/>
                <w:b/>
                <w:sz w:val="24"/>
                <w:szCs w:val="24"/>
              </w:rPr>
            </w:pPr>
          </w:p>
        </w:tc>
        <w:tc>
          <w:tcPr>
            <w:tcW w:w="1193" w:type="dxa"/>
          </w:tcPr>
          <w:p w14:paraId="0AB21858" w14:textId="77777777" w:rsidR="007D77AB" w:rsidRPr="00240322" w:rsidRDefault="007D77AB" w:rsidP="00AE2563">
            <w:pPr>
              <w:rPr>
                <w:rFonts w:ascii="Arial" w:hAnsi="Arial" w:cs="Arial"/>
                <w:b/>
                <w:sz w:val="24"/>
                <w:szCs w:val="24"/>
              </w:rPr>
            </w:pPr>
          </w:p>
        </w:tc>
        <w:tc>
          <w:tcPr>
            <w:tcW w:w="810" w:type="dxa"/>
          </w:tcPr>
          <w:p w14:paraId="6D5C96A6" w14:textId="77777777" w:rsidR="007D77AB" w:rsidRPr="00240322" w:rsidRDefault="007D77AB" w:rsidP="00AE2563">
            <w:pPr>
              <w:rPr>
                <w:rFonts w:ascii="Arial" w:hAnsi="Arial" w:cs="Arial"/>
                <w:b/>
                <w:sz w:val="24"/>
                <w:szCs w:val="24"/>
              </w:rPr>
            </w:pPr>
          </w:p>
        </w:tc>
        <w:tc>
          <w:tcPr>
            <w:tcW w:w="4410" w:type="dxa"/>
          </w:tcPr>
          <w:p w14:paraId="140C3E5E" w14:textId="77777777" w:rsidR="007D77AB" w:rsidRPr="00240322" w:rsidRDefault="007D77AB" w:rsidP="00AE2563">
            <w:pPr>
              <w:rPr>
                <w:rFonts w:ascii="Arial" w:hAnsi="Arial" w:cs="Arial"/>
                <w:b/>
                <w:sz w:val="24"/>
                <w:szCs w:val="24"/>
              </w:rPr>
            </w:pPr>
          </w:p>
        </w:tc>
        <w:tc>
          <w:tcPr>
            <w:tcW w:w="990" w:type="dxa"/>
          </w:tcPr>
          <w:p w14:paraId="34C14A88" w14:textId="77777777" w:rsidR="007D77AB" w:rsidRPr="00240322" w:rsidRDefault="007D77AB" w:rsidP="00AE2563">
            <w:pPr>
              <w:rPr>
                <w:rFonts w:ascii="Arial" w:hAnsi="Arial" w:cs="Arial"/>
                <w:b/>
                <w:sz w:val="24"/>
                <w:szCs w:val="24"/>
              </w:rPr>
            </w:pPr>
          </w:p>
        </w:tc>
      </w:tr>
      <w:tr w:rsidR="007D77AB" w:rsidRPr="00240322" w14:paraId="0D8EB357" w14:textId="77777777" w:rsidTr="00D76CE9">
        <w:trPr>
          <w:trHeight w:val="737"/>
        </w:trPr>
        <w:tc>
          <w:tcPr>
            <w:tcW w:w="3240" w:type="dxa"/>
          </w:tcPr>
          <w:p w14:paraId="371110EF" w14:textId="77777777" w:rsidR="007D77AB" w:rsidRPr="00240322" w:rsidRDefault="007D77AB" w:rsidP="00D76CE9">
            <w:pPr>
              <w:jc w:val="both"/>
              <w:rPr>
                <w:rFonts w:ascii="Arial" w:hAnsi="Arial" w:cs="Arial"/>
                <w:b/>
                <w:sz w:val="24"/>
                <w:szCs w:val="24"/>
              </w:rPr>
            </w:pPr>
          </w:p>
        </w:tc>
        <w:tc>
          <w:tcPr>
            <w:tcW w:w="877" w:type="dxa"/>
          </w:tcPr>
          <w:p w14:paraId="24C37C04" w14:textId="77777777" w:rsidR="007D77AB" w:rsidRPr="00240322" w:rsidRDefault="007D77AB" w:rsidP="00AE2563">
            <w:pPr>
              <w:rPr>
                <w:rFonts w:ascii="Arial" w:hAnsi="Arial" w:cs="Arial"/>
                <w:b/>
                <w:sz w:val="24"/>
                <w:szCs w:val="24"/>
              </w:rPr>
            </w:pPr>
          </w:p>
        </w:tc>
        <w:tc>
          <w:tcPr>
            <w:tcW w:w="1193" w:type="dxa"/>
          </w:tcPr>
          <w:p w14:paraId="7A795B19" w14:textId="77777777" w:rsidR="007D77AB" w:rsidRPr="00240322" w:rsidRDefault="007D77AB" w:rsidP="00AE2563">
            <w:pPr>
              <w:rPr>
                <w:rFonts w:ascii="Arial" w:hAnsi="Arial" w:cs="Arial"/>
                <w:b/>
                <w:sz w:val="24"/>
                <w:szCs w:val="24"/>
              </w:rPr>
            </w:pPr>
          </w:p>
        </w:tc>
        <w:tc>
          <w:tcPr>
            <w:tcW w:w="810" w:type="dxa"/>
          </w:tcPr>
          <w:p w14:paraId="1CA8D063" w14:textId="77777777" w:rsidR="007D77AB" w:rsidRPr="00240322" w:rsidRDefault="007D77AB" w:rsidP="00AE2563">
            <w:pPr>
              <w:rPr>
                <w:rFonts w:ascii="Arial" w:hAnsi="Arial" w:cs="Arial"/>
                <w:b/>
                <w:sz w:val="24"/>
                <w:szCs w:val="24"/>
              </w:rPr>
            </w:pPr>
          </w:p>
        </w:tc>
        <w:tc>
          <w:tcPr>
            <w:tcW w:w="4410" w:type="dxa"/>
          </w:tcPr>
          <w:p w14:paraId="134F14A6" w14:textId="77777777" w:rsidR="007D77AB" w:rsidRPr="00240322" w:rsidRDefault="007D77AB" w:rsidP="00AE2563">
            <w:pPr>
              <w:rPr>
                <w:rFonts w:ascii="Arial" w:hAnsi="Arial" w:cs="Arial"/>
                <w:b/>
                <w:sz w:val="24"/>
                <w:szCs w:val="24"/>
              </w:rPr>
            </w:pPr>
          </w:p>
        </w:tc>
        <w:tc>
          <w:tcPr>
            <w:tcW w:w="990" w:type="dxa"/>
          </w:tcPr>
          <w:p w14:paraId="73A7F5D4" w14:textId="77777777" w:rsidR="007D77AB" w:rsidRPr="00240322" w:rsidRDefault="007D77AB" w:rsidP="00D76CE9">
            <w:pPr>
              <w:jc w:val="both"/>
              <w:rPr>
                <w:rFonts w:ascii="Arial" w:hAnsi="Arial" w:cs="Arial"/>
                <w:b/>
                <w:sz w:val="24"/>
                <w:szCs w:val="24"/>
              </w:rPr>
            </w:pPr>
          </w:p>
        </w:tc>
      </w:tr>
      <w:tr w:rsidR="007D77AB" w:rsidRPr="00240322" w14:paraId="31783FAF" w14:textId="77777777" w:rsidTr="00386451">
        <w:trPr>
          <w:trHeight w:val="769"/>
        </w:trPr>
        <w:tc>
          <w:tcPr>
            <w:tcW w:w="3240" w:type="dxa"/>
          </w:tcPr>
          <w:p w14:paraId="3682C4AE" w14:textId="77777777" w:rsidR="007D77AB" w:rsidRPr="00240322" w:rsidRDefault="007D77AB" w:rsidP="00AE2563">
            <w:pPr>
              <w:rPr>
                <w:rFonts w:ascii="Arial" w:hAnsi="Arial" w:cs="Arial"/>
                <w:b/>
                <w:sz w:val="24"/>
                <w:szCs w:val="24"/>
              </w:rPr>
            </w:pPr>
          </w:p>
        </w:tc>
        <w:tc>
          <w:tcPr>
            <w:tcW w:w="877" w:type="dxa"/>
          </w:tcPr>
          <w:p w14:paraId="51C02A44" w14:textId="77777777" w:rsidR="007D77AB" w:rsidRPr="00240322" w:rsidRDefault="007D77AB" w:rsidP="00AE2563">
            <w:pPr>
              <w:rPr>
                <w:rFonts w:ascii="Arial" w:hAnsi="Arial" w:cs="Arial"/>
                <w:b/>
                <w:sz w:val="24"/>
                <w:szCs w:val="24"/>
              </w:rPr>
            </w:pPr>
          </w:p>
        </w:tc>
        <w:tc>
          <w:tcPr>
            <w:tcW w:w="1193" w:type="dxa"/>
          </w:tcPr>
          <w:p w14:paraId="5422517D" w14:textId="77777777" w:rsidR="007D77AB" w:rsidRPr="00240322" w:rsidRDefault="007D77AB" w:rsidP="00AE2563">
            <w:pPr>
              <w:rPr>
                <w:rFonts w:ascii="Arial" w:hAnsi="Arial" w:cs="Arial"/>
                <w:b/>
                <w:sz w:val="24"/>
                <w:szCs w:val="24"/>
              </w:rPr>
            </w:pPr>
          </w:p>
        </w:tc>
        <w:tc>
          <w:tcPr>
            <w:tcW w:w="810" w:type="dxa"/>
          </w:tcPr>
          <w:p w14:paraId="439CF9A2" w14:textId="77777777" w:rsidR="007D77AB" w:rsidRPr="00240322" w:rsidRDefault="007D77AB" w:rsidP="00AE2563">
            <w:pPr>
              <w:rPr>
                <w:rFonts w:ascii="Arial" w:hAnsi="Arial" w:cs="Arial"/>
                <w:b/>
                <w:sz w:val="24"/>
                <w:szCs w:val="24"/>
              </w:rPr>
            </w:pPr>
          </w:p>
        </w:tc>
        <w:tc>
          <w:tcPr>
            <w:tcW w:w="4410" w:type="dxa"/>
          </w:tcPr>
          <w:p w14:paraId="782191CB" w14:textId="77777777" w:rsidR="007D77AB" w:rsidRPr="00240322" w:rsidRDefault="007D77AB" w:rsidP="00AE2563">
            <w:pPr>
              <w:rPr>
                <w:rFonts w:ascii="Arial" w:hAnsi="Arial" w:cs="Arial"/>
                <w:b/>
                <w:sz w:val="24"/>
                <w:szCs w:val="24"/>
              </w:rPr>
            </w:pPr>
          </w:p>
        </w:tc>
        <w:tc>
          <w:tcPr>
            <w:tcW w:w="990" w:type="dxa"/>
          </w:tcPr>
          <w:p w14:paraId="3AE2FFB3" w14:textId="77777777" w:rsidR="007D77AB" w:rsidRPr="00240322" w:rsidRDefault="007D77AB" w:rsidP="00AE2563">
            <w:pPr>
              <w:rPr>
                <w:rFonts w:ascii="Arial" w:hAnsi="Arial" w:cs="Arial"/>
                <w:b/>
                <w:sz w:val="24"/>
                <w:szCs w:val="24"/>
              </w:rPr>
            </w:pPr>
          </w:p>
        </w:tc>
      </w:tr>
      <w:tr w:rsidR="007D77AB" w:rsidRPr="00240322" w14:paraId="37DB2C99" w14:textId="77777777" w:rsidTr="00386451">
        <w:trPr>
          <w:trHeight w:val="769"/>
        </w:trPr>
        <w:tc>
          <w:tcPr>
            <w:tcW w:w="3240" w:type="dxa"/>
          </w:tcPr>
          <w:p w14:paraId="6D2FE541" w14:textId="77777777" w:rsidR="007D77AB" w:rsidRPr="00240322" w:rsidRDefault="007D77AB" w:rsidP="00AE2563">
            <w:pPr>
              <w:rPr>
                <w:rFonts w:ascii="Arial" w:hAnsi="Arial" w:cs="Arial"/>
                <w:b/>
                <w:sz w:val="24"/>
                <w:szCs w:val="24"/>
              </w:rPr>
            </w:pPr>
          </w:p>
        </w:tc>
        <w:tc>
          <w:tcPr>
            <w:tcW w:w="877" w:type="dxa"/>
          </w:tcPr>
          <w:p w14:paraId="617ACFCB" w14:textId="77777777" w:rsidR="007D77AB" w:rsidRPr="00240322" w:rsidRDefault="007D77AB" w:rsidP="00AE2563">
            <w:pPr>
              <w:rPr>
                <w:rFonts w:ascii="Arial" w:hAnsi="Arial" w:cs="Arial"/>
                <w:b/>
                <w:sz w:val="24"/>
                <w:szCs w:val="24"/>
              </w:rPr>
            </w:pPr>
          </w:p>
        </w:tc>
        <w:tc>
          <w:tcPr>
            <w:tcW w:w="1193" w:type="dxa"/>
          </w:tcPr>
          <w:p w14:paraId="3F828F37" w14:textId="77777777" w:rsidR="007D77AB" w:rsidRPr="00240322" w:rsidRDefault="007D77AB" w:rsidP="00AE2563">
            <w:pPr>
              <w:rPr>
                <w:rFonts w:ascii="Arial" w:hAnsi="Arial" w:cs="Arial"/>
                <w:b/>
                <w:sz w:val="24"/>
                <w:szCs w:val="24"/>
              </w:rPr>
            </w:pPr>
          </w:p>
        </w:tc>
        <w:tc>
          <w:tcPr>
            <w:tcW w:w="810" w:type="dxa"/>
          </w:tcPr>
          <w:p w14:paraId="0EBCFD1C" w14:textId="77777777" w:rsidR="007D77AB" w:rsidRPr="00240322" w:rsidRDefault="007D77AB" w:rsidP="00AE2563">
            <w:pPr>
              <w:rPr>
                <w:rFonts w:ascii="Arial" w:hAnsi="Arial" w:cs="Arial"/>
                <w:b/>
                <w:sz w:val="24"/>
                <w:szCs w:val="24"/>
              </w:rPr>
            </w:pPr>
          </w:p>
        </w:tc>
        <w:tc>
          <w:tcPr>
            <w:tcW w:w="4410" w:type="dxa"/>
          </w:tcPr>
          <w:p w14:paraId="0346E3A2" w14:textId="77777777" w:rsidR="007D77AB" w:rsidRPr="00240322" w:rsidRDefault="007D77AB" w:rsidP="00AE2563">
            <w:pPr>
              <w:rPr>
                <w:rFonts w:ascii="Arial" w:hAnsi="Arial" w:cs="Arial"/>
                <w:b/>
                <w:sz w:val="24"/>
                <w:szCs w:val="24"/>
              </w:rPr>
            </w:pPr>
          </w:p>
        </w:tc>
        <w:tc>
          <w:tcPr>
            <w:tcW w:w="990" w:type="dxa"/>
          </w:tcPr>
          <w:p w14:paraId="519763C4" w14:textId="77777777" w:rsidR="007D77AB" w:rsidRPr="00240322" w:rsidRDefault="007D77AB" w:rsidP="00AE2563">
            <w:pPr>
              <w:rPr>
                <w:rFonts w:ascii="Arial" w:hAnsi="Arial" w:cs="Arial"/>
                <w:b/>
                <w:sz w:val="24"/>
                <w:szCs w:val="24"/>
              </w:rPr>
            </w:pPr>
          </w:p>
        </w:tc>
      </w:tr>
    </w:tbl>
    <w:p w14:paraId="6E4AC49E" w14:textId="67639A1C" w:rsidR="00DE315E" w:rsidRDefault="00DE315E">
      <w:pPr>
        <w:rPr>
          <w:rFonts w:ascii="Arial" w:hAnsi="Arial" w:cs="Arial"/>
          <w:b/>
          <w:sz w:val="24"/>
          <w:szCs w:val="24"/>
        </w:rPr>
      </w:pPr>
    </w:p>
    <w:p w14:paraId="731C01C1" w14:textId="77777777" w:rsidR="00D76CE9" w:rsidRDefault="00D76CE9">
      <w:pPr>
        <w:rPr>
          <w:rFonts w:ascii="Arial" w:hAnsi="Arial" w:cs="Arial"/>
          <w:b/>
          <w:sz w:val="24"/>
          <w:szCs w:val="24"/>
        </w:rPr>
      </w:pPr>
    </w:p>
    <w:p w14:paraId="4565D5D6" w14:textId="77777777" w:rsidR="00DC6F27" w:rsidRPr="00DE315E" w:rsidRDefault="00DC6F27">
      <w:pPr>
        <w:rPr>
          <w:rFonts w:ascii="Arial" w:hAnsi="Arial" w:cs="Arial"/>
          <w:b/>
          <w:sz w:val="24"/>
          <w:szCs w:val="24"/>
        </w:rPr>
      </w:pPr>
      <w:r w:rsidRPr="00DE315E">
        <w:rPr>
          <w:rFonts w:ascii="Arial" w:hAnsi="Arial" w:cs="Arial"/>
          <w:b/>
          <w:sz w:val="24"/>
          <w:szCs w:val="24"/>
        </w:rPr>
        <w:lastRenderedPageBreak/>
        <w:t>EXHIBIT C</w:t>
      </w:r>
    </w:p>
    <w:p w14:paraId="6EC95712" w14:textId="77777777" w:rsidR="00DC6F27" w:rsidRPr="00DE315E" w:rsidRDefault="00DC6F27" w:rsidP="00DC6F27">
      <w:pPr>
        <w:widowControl w:val="0"/>
        <w:spacing w:after="0"/>
        <w:jc w:val="left"/>
        <w:outlineLvl w:val="0"/>
        <w:rPr>
          <w:rFonts w:ascii="Arial" w:eastAsia="Times New Roman" w:hAnsi="Arial" w:cs="Arial"/>
          <w:b/>
          <w:snapToGrid w:val="0"/>
          <w:sz w:val="20"/>
          <w:szCs w:val="20"/>
        </w:rPr>
      </w:pPr>
      <w:r w:rsidRPr="00DE315E">
        <w:rPr>
          <w:rFonts w:ascii="Arial" w:eastAsia="Times New Roman" w:hAnsi="Arial" w:cs="Arial"/>
          <w:b/>
          <w:snapToGrid w:val="0"/>
          <w:sz w:val="20"/>
          <w:szCs w:val="20"/>
        </w:rPr>
        <w:t>GENERAL TERMS AND CONDITIONS FOR SUBREIPIENT CONTRACTS</w:t>
      </w:r>
    </w:p>
    <w:p w14:paraId="3D1E2FB2" w14:textId="77777777" w:rsidR="00DC6F27" w:rsidRPr="00DE315E" w:rsidRDefault="00DC6F27" w:rsidP="00DC6F27">
      <w:pPr>
        <w:widowControl w:val="0"/>
        <w:spacing w:after="0"/>
        <w:jc w:val="left"/>
        <w:rPr>
          <w:rFonts w:ascii="Arial" w:eastAsia="Times New Roman" w:hAnsi="Arial" w:cs="Arial"/>
          <w:b/>
          <w:snapToGrid w:val="0"/>
          <w:sz w:val="20"/>
          <w:szCs w:val="20"/>
        </w:rPr>
      </w:pPr>
    </w:p>
    <w:p w14:paraId="4A1897B4"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sz w:val="20"/>
          <w:szCs w:val="20"/>
        </w:rPr>
        <w:t>The following general terms and conditions (the “Terms and Conditions”) apply to all Portland Housing Bureau’s (“PHB’s”) Subrecipient Contracts (the “Contract”). In the event that the Contract contains a provision that conflicts with a provision of the Terms and Conditions, the more restrictive provision will apply.</w:t>
      </w:r>
    </w:p>
    <w:p w14:paraId="2C80BEA4"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621E62C8" w14:textId="77777777" w:rsidR="00DC6F27" w:rsidRPr="00DE315E" w:rsidRDefault="00DC6F27" w:rsidP="00DC6F27">
      <w:pPr>
        <w:widowControl w:val="0"/>
        <w:spacing w:after="0"/>
        <w:jc w:val="left"/>
        <w:rPr>
          <w:rFonts w:ascii="Arial" w:eastAsia="Times New Roman" w:hAnsi="Arial" w:cs="Arial"/>
          <w:b/>
          <w:snapToGrid w:val="0"/>
          <w:sz w:val="20"/>
          <w:szCs w:val="20"/>
        </w:rPr>
      </w:pPr>
      <w:r w:rsidRPr="00DE315E">
        <w:rPr>
          <w:rFonts w:ascii="Arial" w:eastAsia="Times New Roman" w:hAnsi="Arial" w:cs="Arial"/>
          <w:b/>
          <w:snapToGrid w:val="0"/>
          <w:sz w:val="20"/>
          <w:szCs w:val="20"/>
        </w:rPr>
        <w:t>REPRESENTATIONS AND WARRANTIES</w:t>
      </w:r>
    </w:p>
    <w:p w14:paraId="42C07E41" w14:textId="77777777" w:rsidR="00DC6F27" w:rsidRPr="00DE315E" w:rsidRDefault="00DC6F27" w:rsidP="00DC6F27">
      <w:pPr>
        <w:widowControl w:val="0"/>
        <w:spacing w:after="0"/>
        <w:jc w:val="left"/>
        <w:rPr>
          <w:rFonts w:ascii="Arial" w:eastAsia="Times New Roman" w:hAnsi="Arial" w:cs="Arial"/>
          <w:b/>
          <w:snapToGrid w:val="0"/>
          <w:sz w:val="20"/>
          <w:szCs w:val="20"/>
        </w:rPr>
      </w:pPr>
    </w:p>
    <w:p w14:paraId="6DB85728"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sz w:val="20"/>
          <w:szCs w:val="20"/>
        </w:rPr>
        <w:t xml:space="preserve">Subrecipient represents and warrants to PHB as follows: </w:t>
      </w:r>
    </w:p>
    <w:p w14:paraId="53F487AD" w14:textId="77777777" w:rsidR="00DC6F27" w:rsidRPr="00DE315E" w:rsidRDefault="00DC6F27" w:rsidP="00DC6F27">
      <w:pPr>
        <w:spacing w:after="0"/>
        <w:ind w:left="1224"/>
        <w:contextualSpacing/>
        <w:jc w:val="left"/>
        <w:rPr>
          <w:rFonts w:ascii="Arial" w:eastAsia="Times New Roman" w:hAnsi="Arial" w:cs="Arial"/>
          <w:sz w:val="20"/>
          <w:szCs w:val="20"/>
        </w:rPr>
      </w:pPr>
      <w:r w:rsidRPr="00DE315E">
        <w:rPr>
          <w:rFonts w:ascii="Arial" w:eastAsia="Times New Roman" w:hAnsi="Arial" w:cs="Arial"/>
          <w:sz w:val="20"/>
          <w:szCs w:val="20"/>
        </w:rPr>
        <w:t xml:space="preserve"> </w:t>
      </w:r>
    </w:p>
    <w:p w14:paraId="6705D249"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Authority</w:t>
      </w:r>
      <w:r w:rsidRPr="00DE315E">
        <w:rPr>
          <w:rFonts w:ascii="Arial" w:eastAsia="Times New Roman" w:hAnsi="Arial" w:cs="Arial"/>
          <w:sz w:val="20"/>
          <w:szCs w:val="20"/>
        </w:rPr>
        <w:t xml:space="preserve">.  Subrecipient has full power, authority, and legal right to execute and deliver the Contract and to incur and perform its obligations hereunder.  The execution and performance by Subrecipient of the Contract has been duly authorized by all necessary action of Subrecipient. </w:t>
      </w:r>
    </w:p>
    <w:p w14:paraId="65611D93" w14:textId="77777777" w:rsidR="00DC6F27" w:rsidRPr="00DE315E" w:rsidRDefault="00DC6F27" w:rsidP="00DC6F27">
      <w:pPr>
        <w:spacing w:after="0"/>
        <w:ind w:left="1656"/>
        <w:contextualSpacing/>
        <w:jc w:val="left"/>
        <w:rPr>
          <w:rFonts w:ascii="Arial" w:eastAsia="Times New Roman" w:hAnsi="Arial" w:cs="Arial"/>
          <w:sz w:val="20"/>
          <w:szCs w:val="20"/>
        </w:rPr>
      </w:pPr>
    </w:p>
    <w:p w14:paraId="59B86F2F"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No Violations or Default</w:t>
      </w:r>
      <w:r w:rsidRPr="00DE315E">
        <w:rPr>
          <w:rFonts w:ascii="Arial" w:eastAsia="Times New Roman" w:hAnsi="Arial" w:cs="Arial"/>
          <w:sz w:val="20"/>
          <w:szCs w:val="20"/>
        </w:rPr>
        <w:t xml:space="preserve">.  No event has occurred and no condition exists with respect to Subrecipient that constitutes an Event of Default.  Each of the following is an “Event of Default”: </w:t>
      </w:r>
    </w:p>
    <w:p w14:paraId="138E55AA" w14:textId="77777777" w:rsidR="00DC6F27" w:rsidRPr="00DE315E" w:rsidRDefault="00DC6F27" w:rsidP="00DC6F27">
      <w:pPr>
        <w:spacing w:after="0"/>
        <w:ind w:left="720"/>
        <w:contextualSpacing/>
        <w:jc w:val="left"/>
        <w:rPr>
          <w:rFonts w:ascii="Arial" w:eastAsia="Times New Roman" w:hAnsi="Arial" w:cs="Arial"/>
          <w:sz w:val="20"/>
          <w:szCs w:val="20"/>
        </w:rPr>
      </w:pPr>
    </w:p>
    <w:p w14:paraId="56790A56" w14:textId="77777777" w:rsidR="00DC6F27" w:rsidRPr="00DE315E" w:rsidRDefault="00DC6F27" w:rsidP="007E23CE">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b/>
          <w:sz w:val="20"/>
          <w:szCs w:val="20"/>
        </w:rPr>
        <w:t>Breach</w:t>
      </w:r>
      <w:r w:rsidRPr="00DE315E">
        <w:rPr>
          <w:rFonts w:ascii="Arial" w:eastAsia="Times New Roman" w:hAnsi="Arial" w:cs="Arial"/>
          <w:sz w:val="20"/>
          <w:szCs w:val="20"/>
        </w:rPr>
        <w:t>.  If Subrecipient breaches a material provision of the Contract, whether by action or inaction, and such breach continues and is not remedied within thirty (30) days after Subrecipient receives written notice from PHB specifying the breach;</w:t>
      </w:r>
    </w:p>
    <w:p w14:paraId="7C8E6C31" w14:textId="77777777" w:rsidR="00DC6F27" w:rsidRPr="00DE315E" w:rsidRDefault="00DC6F27" w:rsidP="00DC6F27">
      <w:pPr>
        <w:spacing w:after="0"/>
        <w:ind w:left="2160"/>
        <w:contextualSpacing/>
        <w:jc w:val="left"/>
        <w:rPr>
          <w:rFonts w:ascii="Arial" w:eastAsia="Times New Roman" w:hAnsi="Arial" w:cs="Arial"/>
          <w:sz w:val="20"/>
          <w:szCs w:val="20"/>
        </w:rPr>
      </w:pPr>
    </w:p>
    <w:p w14:paraId="7ED983AA" w14:textId="77777777" w:rsidR="00DC6F27" w:rsidRPr="00DE315E" w:rsidRDefault="00DC6F27" w:rsidP="007E23CE">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b/>
          <w:sz w:val="20"/>
          <w:szCs w:val="20"/>
        </w:rPr>
        <w:t>Assignment</w:t>
      </w:r>
      <w:r w:rsidRPr="00DE315E">
        <w:rPr>
          <w:rFonts w:ascii="Arial" w:eastAsia="Times New Roman" w:hAnsi="Arial" w:cs="Arial"/>
          <w:sz w:val="20"/>
          <w:szCs w:val="20"/>
        </w:rPr>
        <w:t xml:space="preserve">.  If Subrecipient makes an assignment for the benefit of creditors, or is adjudicated a bankrupt, or has a receiver, trustee or creditor’s committee appointed over it that is not removed within one hundred eighty (180) days after appointment; </w:t>
      </w:r>
    </w:p>
    <w:p w14:paraId="799D184D" w14:textId="77777777" w:rsidR="00DC6F27" w:rsidRPr="00DE315E" w:rsidRDefault="00DC6F27" w:rsidP="00DC6F27">
      <w:pPr>
        <w:spacing w:after="0"/>
        <w:ind w:left="720"/>
        <w:contextualSpacing/>
        <w:jc w:val="left"/>
        <w:rPr>
          <w:rFonts w:ascii="Arial" w:eastAsia="Times New Roman" w:hAnsi="Arial" w:cs="Arial"/>
          <w:sz w:val="20"/>
          <w:szCs w:val="20"/>
        </w:rPr>
      </w:pPr>
    </w:p>
    <w:p w14:paraId="1ABA3271" w14:textId="77777777" w:rsidR="00DC6F27" w:rsidRPr="00DE315E" w:rsidRDefault="00DC6F27" w:rsidP="007E23CE">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b/>
          <w:sz w:val="20"/>
          <w:szCs w:val="20"/>
        </w:rPr>
        <w:t>Failure to Disclose</w:t>
      </w:r>
      <w:r w:rsidRPr="00DE315E">
        <w:rPr>
          <w:rFonts w:ascii="Arial" w:eastAsia="Times New Roman" w:hAnsi="Arial" w:cs="Arial"/>
          <w:sz w:val="20"/>
          <w:szCs w:val="20"/>
        </w:rPr>
        <w:t xml:space="preserve">; Misrepresentation.  Subrecipient’s failure to disclose any material fact related to the Contract or upon discovery by PHB of any misrepresentations by, on behalf of, or for the benefit of, Subrecipient; or </w:t>
      </w:r>
    </w:p>
    <w:p w14:paraId="742DE540" w14:textId="77777777" w:rsidR="00DC6F27" w:rsidRPr="00DE315E" w:rsidRDefault="00DC6F27" w:rsidP="00DC6F27">
      <w:pPr>
        <w:spacing w:after="0"/>
        <w:ind w:left="720"/>
        <w:contextualSpacing/>
        <w:jc w:val="left"/>
        <w:rPr>
          <w:rFonts w:ascii="Arial" w:eastAsia="Times New Roman" w:hAnsi="Arial" w:cs="Arial"/>
          <w:sz w:val="20"/>
          <w:szCs w:val="20"/>
        </w:rPr>
      </w:pPr>
    </w:p>
    <w:p w14:paraId="1FC0BE0A" w14:textId="77777777" w:rsidR="00DC6F27" w:rsidRPr="00DE315E" w:rsidRDefault="00DC6F27" w:rsidP="007E23CE">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b/>
          <w:sz w:val="20"/>
          <w:szCs w:val="20"/>
        </w:rPr>
        <w:t>Misuse of Funds</w:t>
      </w:r>
      <w:r w:rsidRPr="00DE315E">
        <w:rPr>
          <w:rFonts w:ascii="Arial" w:eastAsia="Times New Roman" w:hAnsi="Arial" w:cs="Arial"/>
          <w:sz w:val="20"/>
          <w:szCs w:val="20"/>
        </w:rPr>
        <w:t xml:space="preserve">.  It shall also be an Event of Default under the Contract, if Subrecipient uses any portion of the funds in a manner inconsistent with the Contract. </w:t>
      </w:r>
    </w:p>
    <w:p w14:paraId="40474DCA" w14:textId="77777777" w:rsidR="00DC6F27" w:rsidRPr="00DE315E" w:rsidRDefault="00DC6F27" w:rsidP="00DC6F27">
      <w:pPr>
        <w:spacing w:after="0"/>
        <w:ind w:left="720"/>
        <w:contextualSpacing/>
        <w:jc w:val="left"/>
        <w:rPr>
          <w:rFonts w:ascii="Arial" w:eastAsia="Times New Roman" w:hAnsi="Arial" w:cs="Arial"/>
          <w:sz w:val="20"/>
          <w:szCs w:val="20"/>
        </w:rPr>
      </w:pPr>
    </w:p>
    <w:p w14:paraId="0A801527"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Litigation</w:t>
      </w:r>
      <w:r w:rsidRPr="00DE315E">
        <w:rPr>
          <w:rFonts w:ascii="Arial" w:eastAsia="Times New Roman" w:hAnsi="Arial" w:cs="Arial"/>
          <w:sz w:val="20"/>
          <w:szCs w:val="20"/>
        </w:rPr>
        <w:t xml:space="preserve">.  No action, suit or proceeding is pending against Subrecipient before any court or administrative agency, that purports to affect the legality, enforceability, or validity of the Contract; or </w:t>
      </w:r>
    </w:p>
    <w:p w14:paraId="6EB839AE" w14:textId="77777777" w:rsidR="00DC6F27" w:rsidRPr="00DE315E" w:rsidRDefault="00DC6F27" w:rsidP="00DC6F27">
      <w:pPr>
        <w:spacing w:after="0"/>
        <w:ind w:left="1656"/>
        <w:contextualSpacing/>
        <w:jc w:val="left"/>
        <w:rPr>
          <w:rFonts w:ascii="Arial" w:eastAsia="Times New Roman" w:hAnsi="Arial" w:cs="Arial"/>
          <w:sz w:val="20"/>
          <w:szCs w:val="20"/>
        </w:rPr>
      </w:pPr>
    </w:p>
    <w:p w14:paraId="2C89B11D"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Compliance with Laws</w:t>
      </w:r>
      <w:r w:rsidRPr="00DE315E">
        <w:rPr>
          <w:rFonts w:ascii="Arial" w:eastAsia="Times New Roman" w:hAnsi="Arial" w:cs="Arial"/>
          <w:sz w:val="20"/>
          <w:szCs w:val="20"/>
        </w:rPr>
        <w:t>.  Subrecipient is in material compliance with all federal, state and local laws, rules, regulations, ordinances and orders applicable to it.  Any violation of such laws, rules, regulations, ordinances or orders shall constitute an Event of Default by Subrecipient.</w:t>
      </w:r>
    </w:p>
    <w:p w14:paraId="395C6467" w14:textId="77777777" w:rsidR="00DC6F27" w:rsidRPr="00DE315E" w:rsidRDefault="00DC6F27" w:rsidP="00DC6F27">
      <w:pPr>
        <w:spacing w:after="0"/>
        <w:ind w:left="1656"/>
        <w:contextualSpacing/>
        <w:jc w:val="left"/>
        <w:rPr>
          <w:rFonts w:ascii="Arial" w:eastAsia="Times New Roman" w:hAnsi="Arial" w:cs="Arial"/>
          <w:sz w:val="20"/>
          <w:szCs w:val="20"/>
        </w:rPr>
      </w:pPr>
    </w:p>
    <w:p w14:paraId="2884861B" w14:textId="77777777" w:rsidR="00DC6F27" w:rsidRPr="00DE315E" w:rsidRDefault="00DC6F27" w:rsidP="00DC6F27">
      <w:pPr>
        <w:widowControl w:val="0"/>
        <w:spacing w:after="0"/>
        <w:jc w:val="left"/>
        <w:rPr>
          <w:rFonts w:ascii="Arial" w:eastAsia="Times New Roman" w:hAnsi="Arial" w:cs="Arial"/>
          <w:b/>
          <w:snapToGrid w:val="0"/>
          <w:sz w:val="20"/>
          <w:szCs w:val="20"/>
        </w:rPr>
      </w:pPr>
      <w:r w:rsidRPr="00DE315E">
        <w:rPr>
          <w:rFonts w:ascii="Arial" w:eastAsia="Times New Roman" w:hAnsi="Arial" w:cs="Arial"/>
          <w:b/>
          <w:snapToGrid w:val="0"/>
          <w:sz w:val="20"/>
          <w:szCs w:val="20"/>
        </w:rPr>
        <w:t>AFFIRMATIVE COVENANTS</w:t>
      </w:r>
    </w:p>
    <w:p w14:paraId="7F19869B" w14:textId="77777777" w:rsidR="00DC6F27" w:rsidRPr="00DE315E" w:rsidRDefault="00DC6F27" w:rsidP="00DC6F27">
      <w:pPr>
        <w:spacing w:after="0"/>
        <w:ind w:left="720"/>
        <w:contextualSpacing/>
        <w:jc w:val="left"/>
        <w:rPr>
          <w:rFonts w:ascii="Arial" w:eastAsia="Times New Roman" w:hAnsi="Arial" w:cs="Arial"/>
          <w:b/>
          <w:sz w:val="20"/>
          <w:szCs w:val="20"/>
        </w:rPr>
      </w:pPr>
    </w:p>
    <w:p w14:paraId="114DEF7B"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sz w:val="20"/>
          <w:szCs w:val="20"/>
        </w:rPr>
        <w:t xml:space="preserve">Subrecipient covenants and agrees as follows: </w:t>
      </w:r>
    </w:p>
    <w:p w14:paraId="75E90F3B" w14:textId="77777777" w:rsidR="00DC6F27" w:rsidRPr="00DE315E" w:rsidRDefault="00DC6F27" w:rsidP="00DC6F27">
      <w:pPr>
        <w:spacing w:after="0"/>
        <w:ind w:left="1224"/>
        <w:contextualSpacing/>
        <w:jc w:val="left"/>
        <w:rPr>
          <w:rFonts w:ascii="Arial" w:eastAsia="Times New Roman" w:hAnsi="Arial" w:cs="Arial"/>
          <w:sz w:val="20"/>
          <w:szCs w:val="20"/>
        </w:rPr>
      </w:pPr>
    </w:p>
    <w:p w14:paraId="08FA4A91"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Performance of the Work</w:t>
      </w:r>
      <w:r w:rsidRPr="00DE315E">
        <w:rPr>
          <w:rFonts w:ascii="Arial" w:eastAsia="Times New Roman" w:hAnsi="Arial" w:cs="Arial"/>
          <w:sz w:val="20"/>
          <w:szCs w:val="20"/>
        </w:rPr>
        <w:t>.  Subrecipient shall perform the work in an expeditious and continuous manner in compliance with all federal, state and local laws, rules, regulations, ordinances and orders</w:t>
      </w:r>
      <w:r w:rsidRPr="00DE315E" w:rsidDel="00A93300">
        <w:rPr>
          <w:rFonts w:ascii="Arial" w:eastAsia="Times New Roman" w:hAnsi="Arial" w:cs="Arial"/>
          <w:sz w:val="20"/>
          <w:szCs w:val="20"/>
        </w:rPr>
        <w:t xml:space="preserve"> </w:t>
      </w:r>
      <w:r w:rsidRPr="00DE315E">
        <w:rPr>
          <w:rFonts w:ascii="Arial" w:eastAsia="Times New Roman" w:hAnsi="Arial" w:cs="Arial"/>
          <w:sz w:val="20"/>
          <w:szCs w:val="20"/>
        </w:rPr>
        <w:t xml:space="preserve">pertaining to or regulating the activities to be performed pursuant to the Contract, including those hereinafter adopted, including, but not limited to, the following: </w:t>
      </w:r>
    </w:p>
    <w:p w14:paraId="050B412B" w14:textId="764538C5" w:rsidR="00872B29" w:rsidRDefault="00872B29">
      <w:pPr>
        <w:rPr>
          <w:rFonts w:ascii="Arial" w:eastAsia="Times New Roman" w:hAnsi="Arial" w:cs="Arial"/>
          <w:sz w:val="20"/>
          <w:szCs w:val="20"/>
        </w:rPr>
      </w:pPr>
      <w:r>
        <w:rPr>
          <w:rFonts w:ascii="Arial" w:eastAsia="Times New Roman" w:hAnsi="Arial" w:cs="Arial"/>
          <w:sz w:val="20"/>
          <w:szCs w:val="20"/>
        </w:rPr>
        <w:br w:type="page"/>
      </w:r>
    </w:p>
    <w:p w14:paraId="1BCFD3B5" w14:textId="77777777" w:rsidR="006A174C" w:rsidRPr="006E3C20" w:rsidRDefault="006A174C" w:rsidP="007E23CE">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6E3C20">
        <w:rPr>
          <w:rFonts w:ascii="Arial" w:eastAsia="Times New Roman" w:hAnsi="Arial" w:cs="Arial"/>
          <w:sz w:val="20"/>
          <w:szCs w:val="20"/>
          <w:u w:val="single"/>
        </w:rPr>
        <w:lastRenderedPageBreak/>
        <w:t>Contract Administration</w:t>
      </w:r>
      <w:r w:rsidRPr="006E3C20">
        <w:rPr>
          <w:rFonts w:ascii="Arial" w:eastAsia="Times New Roman" w:hAnsi="Arial" w:cs="Arial"/>
          <w:sz w:val="20"/>
          <w:szCs w:val="20"/>
        </w:rPr>
        <w:t xml:space="preserve"> (24 CFR 570.502(b)). Subrecipient shall comply with the applicable provisions of the Code of Federal Regulations, 2 CFR 200 as concerns contract administration (2 CFR Subparts A, B, and C), administrative processes (2 FR 200 Subpart D), and cost principles (2 CFR Subpart E).  All Subrecipients shall remain compliant with audit principles outlined in OMB Circular A-133 as well as w</w:t>
      </w:r>
      <w:r w:rsidR="00423507" w:rsidRPr="006E3C20">
        <w:rPr>
          <w:rFonts w:ascii="Arial" w:eastAsia="Times New Roman" w:hAnsi="Arial" w:cs="Arial"/>
          <w:sz w:val="20"/>
          <w:szCs w:val="20"/>
        </w:rPr>
        <w:t>ith the new 2 CFR 200 Subpart F.</w:t>
      </w:r>
    </w:p>
    <w:p w14:paraId="0EF98C5E" w14:textId="77777777" w:rsidR="00DC6F27" w:rsidRPr="00DE315E" w:rsidRDefault="00DC6F27" w:rsidP="00DC6F27">
      <w:pPr>
        <w:spacing w:after="0"/>
        <w:ind w:left="2016"/>
        <w:contextualSpacing/>
        <w:jc w:val="left"/>
        <w:rPr>
          <w:rFonts w:ascii="Arial" w:eastAsia="Times New Roman" w:hAnsi="Arial" w:cs="Arial"/>
          <w:sz w:val="20"/>
          <w:szCs w:val="20"/>
        </w:rPr>
      </w:pPr>
    </w:p>
    <w:p w14:paraId="168A9BD0" w14:textId="77777777" w:rsidR="00DC6F27" w:rsidRDefault="00DC6F27" w:rsidP="007E23CE">
      <w:pPr>
        <w:widowControl w:val="0"/>
        <w:tabs>
          <w:tab w:val="left" w:pos="1440"/>
        </w:tabs>
        <w:spacing w:after="0"/>
        <w:ind w:left="1440"/>
        <w:contextualSpacing/>
        <w:jc w:val="left"/>
        <w:rPr>
          <w:rFonts w:ascii="Arial" w:eastAsia="Times New Roman" w:hAnsi="Arial" w:cs="Arial"/>
          <w:sz w:val="20"/>
          <w:szCs w:val="20"/>
        </w:rPr>
      </w:pPr>
      <w:r w:rsidRPr="002B5C2F">
        <w:rPr>
          <w:rFonts w:ascii="Arial" w:eastAsia="Times New Roman" w:hAnsi="Arial" w:cs="Arial"/>
          <w:sz w:val="20"/>
          <w:szCs w:val="20"/>
        </w:rPr>
        <w:t xml:space="preserve">If Subrecipient is a 501(c)(3) organization, Subrecipient shall maintain its nonprofit and tax exempt status during this Agreement.  </w:t>
      </w:r>
    </w:p>
    <w:p w14:paraId="5E882DBD" w14:textId="77777777" w:rsidR="00014880" w:rsidRPr="002B5C2F" w:rsidRDefault="00014880" w:rsidP="00D5717F">
      <w:pPr>
        <w:widowControl w:val="0"/>
        <w:spacing w:after="0"/>
        <w:ind w:left="1704"/>
        <w:contextualSpacing/>
        <w:jc w:val="left"/>
        <w:rPr>
          <w:rFonts w:ascii="Arial" w:eastAsia="Times New Roman" w:hAnsi="Arial" w:cs="Arial"/>
          <w:snapToGrid w:val="0"/>
          <w:sz w:val="20"/>
          <w:szCs w:val="20"/>
        </w:rPr>
      </w:pPr>
    </w:p>
    <w:p w14:paraId="294F87D3" w14:textId="77777777" w:rsidR="00DC6F27" w:rsidRPr="00DE315E" w:rsidRDefault="00DC6F27" w:rsidP="007E23CE">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sz w:val="20"/>
          <w:szCs w:val="20"/>
        </w:rPr>
        <w:t xml:space="preserve">DRUG-FREE WORKPLACE ACT OF 1998.  Subrecipient shall maintain a drug-free workplace in accordance with the requirements of the Drug-Free Workplace Act of 1998 and in accordance with requirements of 24 CFR Part 24 Subpart F; </w:t>
      </w:r>
    </w:p>
    <w:p w14:paraId="6B1A6D29"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6FDAB0FB" w14:textId="77777777" w:rsidR="00DC6F27" w:rsidRPr="00DE315E" w:rsidRDefault="00DC6F27" w:rsidP="007E23CE">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sz w:val="20"/>
          <w:szCs w:val="20"/>
        </w:rPr>
        <w:t>Subrecipient shall also comply with the provisions of 24 CFR 84.42 and/or 85.36(b)(3), which require that a written Code of Standards of Conduct be maintained by the Subrecipient, as it relates to the performance of employees engaged in the award and administration of contracts.</w:t>
      </w:r>
    </w:p>
    <w:p w14:paraId="33C48D63"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1670E0B7"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Changes in Anticipated Services</w:t>
      </w:r>
      <w:r w:rsidRPr="00DE315E">
        <w:rPr>
          <w:rFonts w:ascii="Arial" w:eastAsia="Times New Roman" w:hAnsi="Arial" w:cs="Arial"/>
          <w:sz w:val="20"/>
          <w:szCs w:val="20"/>
        </w:rPr>
        <w:t>.  If, for any reason, Subrecipient’s anticipated services or actions are terminated, discontinued or interrupted, PHB’s payment of funds may be terminated, suspended or reduced.  Subrecipient shall immediately refund to PHB any unexpended funds received by Subrecipient.</w:t>
      </w:r>
    </w:p>
    <w:p w14:paraId="0369867B" w14:textId="77777777" w:rsidR="00DC6F27" w:rsidRPr="00DE315E" w:rsidRDefault="00DC6F27" w:rsidP="00DC6F27">
      <w:pPr>
        <w:spacing w:after="0"/>
        <w:ind w:left="1656"/>
        <w:contextualSpacing/>
        <w:jc w:val="left"/>
        <w:rPr>
          <w:rFonts w:ascii="Arial" w:eastAsia="Times New Roman" w:hAnsi="Arial" w:cs="Arial"/>
          <w:sz w:val="20"/>
          <w:szCs w:val="20"/>
        </w:rPr>
      </w:pPr>
    </w:p>
    <w:p w14:paraId="7C834260" w14:textId="46A7E3FA" w:rsidR="00142E37" w:rsidRDefault="00DC6F27" w:rsidP="00142E37">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Non-Discrimination</w:t>
      </w:r>
      <w:r w:rsidRPr="00DE315E">
        <w:rPr>
          <w:rFonts w:ascii="Arial" w:eastAsia="Times New Roman" w:hAnsi="Arial" w:cs="Arial"/>
          <w:sz w:val="20"/>
          <w:szCs w:val="20"/>
        </w:rPr>
        <w:t>; Civil Rights.  During the term of the Contract, Subrecipient shall comply with the following:</w:t>
      </w:r>
    </w:p>
    <w:p w14:paraId="31E1D9CB" w14:textId="77777777" w:rsidR="00142E37" w:rsidRPr="00142E37" w:rsidRDefault="00142E37" w:rsidP="00142E37">
      <w:pPr>
        <w:widowControl w:val="0"/>
        <w:tabs>
          <w:tab w:val="left" w:pos="1080"/>
        </w:tabs>
        <w:spacing w:after="0"/>
        <w:contextualSpacing/>
        <w:jc w:val="left"/>
        <w:rPr>
          <w:rFonts w:ascii="Arial" w:eastAsia="Times New Roman" w:hAnsi="Arial" w:cs="Arial"/>
          <w:sz w:val="20"/>
          <w:szCs w:val="20"/>
        </w:rPr>
      </w:pPr>
    </w:p>
    <w:p w14:paraId="21DAE1BA" w14:textId="77777777" w:rsidR="00DC6F27" w:rsidRPr="00DE315E" w:rsidRDefault="00DC6F27" w:rsidP="00142E37">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sz w:val="20"/>
          <w:szCs w:val="20"/>
        </w:rPr>
        <w:t>The non-discrimination provisions of Title VI of the Civil Rights Act of 1964 (24 CFR 1), the Fair Housing Act (24 CFR 100), and Executive Order 11063 (24 CFR 107);</w:t>
      </w:r>
    </w:p>
    <w:p w14:paraId="65126507"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0DBAA0D4" w14:textId="77777777" w:rsidR="00DC6F27" w:rsidRPr="00DE315E" w:rsidRDefault="00DC6F27" w:rsidP="00142E37">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sz w:val="20"/>
          <w:szCs w:val="20"/>
        </w:rPr>
        <w:t>Prohibitions against discrimination on the basis of age under Section 109 of the Act as well as the Age Discrimination Act of 1975 (24 CFR 146), and the prohibitions against discrimination against otherwise qualified individuals with handicaps under Section 109 as well as section 504 of the Rehabilitation Act of 1973 (24 CFR 8);</w:t>
      </w:r>
    </w:p>
    <w:p w14:paraId="4BB88BFA"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01DEE10C" w14:textId="77777777" w:rsidR="00DC6F27" w:rsidRPr="00DE315E" w:rsidRDefault="00DC6F27" w:rsidP="00142E37">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sz w:val="20"/>
          <w:szCs w:val="20"/>
        </w:rPr>
        <w:t>The equal employment and affirmative action requirements of Executive Order 11246, as amended by Order 12086 (41 CFR 60);</w:t>
      </w:r>
    </w:p>
    <w:p w14:paraId="5E6C3A10"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78FC5433" w14:textId="77777777" w:rsidR="00DC6F27" w:rsidRPr="00DE315E" w:rsidRDefault="00DC6F27" w:rsidP="00142E37">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sz w:val="20"/>
          <w:szCs w:val="20"/>
        </w:rPr>
        <w:t>The equal employment and non-discrimination requirements of Portland City Code Sections 3.100.005 (City Policies Relating to Equal Employment Opportunity, Affirmative Action and Civil Rights), 3.100.042 (Certification of Contractors), and Chapter 23 – Civil Rights;</w:t>
      </w:r>
    </w:p>
    <w:p w14:paraId="033717F3"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739E7CA6" w14:textId="77777777" w:rsidR="00DC6F27" w:rsidRPr="00DE315E" w:rsidRDefault="00DC6F27" w:rsidP="00142E37">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sz w:val="20"/>
          <w:szCs w:val="20"/>
        </w:rPr>
        <w:t>The Americans with Disabilities Act (42 USC 12131, 47 USC 155, 201, 218 and 225), which provides comprehensive civil rights to individuals with disabilities in the areas of employment, public accommodation, state and local government services and telecommunications.  The Act also requires the removal of architectural and communication barriers that are structural in nature in existing facilities.  For CDBG and/or HOME funded projects, the Subrecipient will also comply with affirmative marketing policy and outreach to minorities and women and to entities owned by minorities and women in accordance with 24 CFR 92.351 and/or 24 CFR 570.601(a)(2), if the funds will be used for housing containing five (5) or more assisted units.</w:t>
      </w:r>
    </w:p>
    <w:p w14:paraId="2220CF11"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5FB472CD" w14:textId="6DD565BF" w:rsidR="00DC6F27" w:rsidRPr="00DE315E" w:rsidRDefault="00C552B7" w:rsidP="007E23CE">
      <w:pPr>
        <w:widowControl w:val="0"/>
        <w:tabs>
          <w:tab w:val="left" w:pos="720"/>
        </w:tabs>
        <w:spacing w:after="0"/>
        <w:ind w:left="1080" w:hanging="360"/>
        <w:contextualSpacing/>
        <w:jc w:val="left"/>
        <w:rPr>
          <w:rFonts w:ascii="Arial" w:eastAsia="Times New Roman" w:hAnsi="Arial" w:cs="Arial"/>
          <w:sz w:val="20"/>
          <w:szCs w:val="20"/>
        </w:rPr>
      </w:pPr>
      <w:r>
        <w:rPr>
          <w:rFonts w:ascii="Arial" w:eastAsia="Times New Roman" w:hAnsi="Arial" w:cs="Arial"/>
          <w:sz w:val="20"/>
          <w:szCs w:val="20"/>
        </w:rPr>
        <w:t xml:space="preserve">D.  </w:t>
      </w:r>
      <w:r w:rsidR="007E23CE">
        <w:rPr>
          <w:rFonts w:ascii="Arial" w:eastAsia="Times New Roman" w:hAnsi="Arial" w:cs="Arial"/>
          <w:sz w:val="20"/>
          <w:szCs w:val="20"/>
        </w:rPr>
        <w:tab/>
      </w:r>
      <w:r>
        <w:rPr>
          <w:rFonts w:ascii="Arial" w:eastAsia="Times New Roman" w:hAnsi="Arial" w:cs="Arial"/>
          <w:b/>
          <w:sz w:val="20"/>
          <w:szCs w:val="20"/>
        </w:rPr>
        <w:t xml:space="preserve">Required Provisions.  </w:t>
      </w:r>
      <w:r w:rsidR="00DC6F27" w:rsidRPr="00DE315E">
        <w:rPr>
          <w:rFonts w:ascii="Arial" w:eastAsia="Times New Roman" w:hAnsi="Arial" w:cs="Arial"/>
          <w:sz w:val="20"/>
          <w:szCs w:val="20"/>
        </w:rPr>
        <w:t>The following provisions</w:t>
      </w:r>
      <w:r>
        <w:rPr>
          <w:rFonts w:ascii="Arial" w:eastAsia="Times New Roman" w:hAnsi="Arial" w:cs="Arial"/>
          <w:sz w:val="20"/>
          <w:szCs w:val="20"/>
        </w:rPr>
        <w:t xml:space="preserve"> shall be complied with and shall be</w:t>
      </w:r>
      <w:r w:rsidR="00DC6F27" w:rsidRPr="00DE315E">
        <w:rPr>
          <w:rFonts w:ascii="Arial" w:eastAsia="Times New Roman" w:hAnsi="Arial" w:cs="Arial"/>
          <w:sz w:val="20"/>
          <w:szCs w:val="20"/>
        </w:rPr>
        <w:t xml:space="preserve"> include</w:t>
      </w:r>
      <w:r>
        <w:rPr>
          <w:rFonts w:ascii="Arial" w:eastAsia="Times New Roman" w:hAnsi="Arial" w:cs="Arial"/>
          <w:sz w:val="20"/>
          <w:szCs w:val="20"/>
        </w:rPr>
        <w:t>d</w:t>
      </w:r>
      <w:r w:rsidR="00DC6F27" w:rsidRPr="00DE315E">
        <w:rPr>
          <w:rFonts w:ascii="Arial" w:eastAsia="Times New Roman" w:hAnsi="Arial" w:cs="Arial"/>
          <w:sz w:val="20"/>
          <w:szCs w:val="20"/>
        </w:rPr>
        <w:t xml:space="preserve"> such in each subcontract, including procurements of materials and leases of equipment, unless otherwise exempt:</w:t>
      </w:r>
    </w:p>
    <w:p w14:paraId="28A50215" w14:textId="77777777" w:rsidR="00DC6F27" w:rsidRPr="00DE315E" w:rsidRDefault="00DC6F27" w:rsidP="00297214">
      <w:pPr>
        <w:widowControl w:val="0"/>
        <w:tabs>
          <w:tab w:val="left" w:pos="1440"/>
        </w:tabs>
        <w:spacing w:after="0"/>
        <w:jc w:val="left"/>
        <w:rPr>
          <w:rFonts w:ascii="Arial" w:eastAsia="Times New Roman" w:hAnsi="Arial" w:cs="Arial"/>
          <w:snapToGrid w:val="0"/>
          <w:sz w:val="20"/>
          <w:szCs w:val="20"/>
        </w:rPr>
      </w:pPr>
    </w:p>
    <w:p w14:paraId="5D4DB0C6" w14:textId="5DE64DF7" w:rsidR="00DC6F27" w:rsidRPr="00DE315E" w:rsidRDefault="00297214" w:rsidP="00297214">
      <w:pPr>
        <w:widowControl w:val="0"/>
        <w:tabs>
          <w:tab w:val="left" w:pos="1440"/>
        </w:tabs>
        <w:spacing w:after="0"/>
        <w:ind w:left="1440" w:hanging="360"/>
        <w:contextualSpacing/>
        <w:jc w:val="left"/>
        <w:rPr>
          <w:rFonts w:ascii="Arial" w:eastAsia="Times New Roman" w:hAnsi="Arial" w:cs="Arial"/>
          <w:sz w:val="20"/>
          <w:szCs w:val="20"/>
        </w:rPr>
      </w:pPr>
      <w:r>
        <w:rPr>
          <w:rFonts w:ascii="Arial" w:eastAsia="Times New Roman" w:hAnsi="Arial" w:cs="Arial"/>
          <w:bCs/>
          <w:sz w:val="20"/>
          <w:szCs w:val="20"/>
        </w:rPr>
        <w:t>i.</w:t>
      </w:r>
      <w:r>
        <w:rPr>
          <w:rFonts w:ascii="Arial" w:eastAsia="Times New Roman" w:hAnsi="Arial" w:cs="Arial"/>
          <w:bCs/>
          <w:sz w:val="20"/>
          <w:szCs w:val="20"/>
        </w:rPr>
        <w:tab/>
      </w:r>
      <w:r w:rsidR="00DC6F27" w:rsidRPr="00DE315E">
        <w:rPr>
          <w:rFonts w:ascii="Arial" w:eastAsia="Times New Roman" w:hAnsi="Arial" w:cs="Arial"/>
          <w:b/>
          <w:sz w:val="20"/>
          <w:szCs w:val="20"/>
          <w:u w:val="single"/>
        </w:rPr>
        <w:t>Non-discrimination</w:t>
      </w:r>
      <w:r w:rsidR="00DC6F27" w:rsidRPr="00DE315E">
        <w:rPr>
          <w:rFonts w:ascii="Arial" w:eastAsia="Times New Roman" w:hAnsi="Arial" w:cs="Arial"/>
          <w:sz w:val="20"/>
          <w:szCs w:val="20"/>
        </w:rPr>
        <w:t>. Subrecipient, with regard to the work performed by it during the Contract, shall not discriminate on the grounds of race, color, national origin, sex, sexual orientation, age, religion, disability, marital status, or family relationships in the selection and retention of Subrecipients, including procurements of materials and leases of equipment.  Subrecipient shall not participate either directly or indirectly in the discrimination prohibited by section 21.5 of the Regulations, including employment practices for a program set forth in Appendix B of the Regulations.</w:t>
      </w:r>
    </w:p>
    <w:p w14:paraId="08839145" w14:textId="77777777" w:rsidR="00DC6F27" w:rsidRPr="00DE315E" w:rsidRDefault="00DC6F27" w:rsidP="00297214">
      <w:pPr>
        <w:widowControl w:val="0"/>
        <w:tabs>
          <w:tab w:val="left" w:pos="990"/>
        </w:tabs>
        <w:spacing w:after="0"/>
        <w:ind w:hanging="594"/>
        <w:jc w:val="left"/>
        <w:rPr>
          <w:rFonts w:ascii="Arial" w:eastAsia="Times New Roman" w:hAnsi="Arial" w:cs="Arial"/>
          <w:snapToGrid w:val="0"/>
          <w:sz w:val="20"/>
          <w:szCs w:val="20"/>
        </w:rPr>
      </w:pPr>
    </w:p>
    <w:p w14:paraId="3A68C8C7" w14:textId="27289C6C" w:rsidR="00DC6F27" w:rsidRPr="00DE315E" w:rsidRDefault="00297214" w:rsidP="00297214">
      <w:pPr>
        <w:widowControl w:val="0"/>
        <w:tabs>
          <w:tab w:val="left" w:pos="1440"/>
        </w:tabs>
        <w:spacing w:after="0"/>
        <w:ind w:left="1440" w:hanging="360"/>
        <w:contextualSpacing/>
        <w:jc w:val="left"/>
        <w:rPr>
          <w:rFonts w:ascii="Arial" w:eastAsia="Times New Roman" w:hAnsi="Arial" w:cs="Arial"/>
          <w:sz w:val="20"/>
          <w:szCs w:val="20"/>
        </w:rPr>
      </w:pPr>
      <w:r>
        <w:rPr>
          <w:rFonts w:ascii="Arial" w:eastAsia="Times New Roman" w:hAnsi="Arial" w:cs="Arial"/>
          <w:bCs/>
          <w:sz w:val="20"/>
          <w:szCs w:val="20"/>
        </w:rPr>
        <w:t>ii.</w:t>
      </w:r>
      <w:r>
        <w:rPr>
          <w:rFonts w:ascii="Arial" w:eastAsia="Times New Roman" w:hAnsi="Arial" w:cs="Arial"/>
          <w:bCs/>
          <w:sz w:val="20"/>
          <w:szCs w:val="20"/>
        </w:rPr>
        <w:tab/>
      </w:r>
      <w:r w:rsidR="00DC6F27" w:rsidRPr="00DE315E">
        <w:rPr>
          <w:rFonts w:ascii="Arial" w:eastAsia="Times New Roman" w:hAnsi="Arial" w:cs="Arial"/>
          <w:b/>
          <w:sz w:val="20"/>
          <w:szCs w:val="20"/>
          <w:u w:val="single"/>
        </w:rPr>
        <w:t>Solicitations for Subcontractor, Including Procurements of Materials and Equipment</w:t>
      </w:r>
      <w:r w:rsidR="00DC6F27" w:rsidRPr="00DE315E">
        <w:rPr>
          <w:rFonts w:ascii="Arial" w:eastAsia="Times New Roman" w:hAnsi="Arial" w:cs="Arial"/>
          <w:sz w:val="20"/>
          <w:szCs w:val="20"/>
        </w:rPr>
        <w:t>.  In all solicitations either by competitive bidding or negotiation made by Subrecipient for work to be performed under a subcontract, including procurements of materials or leases of equipment, each potential Subcontractor or supplier shall be notified by Subrecipient of Subrecipient's obligations under the Contract and the Regulations relative to non-discrimination on the grounds of race, color, national origin, sex, sexual orientation, age, religion, disability, marital status, or family relationships.</w:t>
      </w:r>
    </w:p>
    <w:p w14:paraId="60EB436C" w14:textId="77777777" w:rsidR="00DC6F27" w:rsidRPr="00DE315E" w:rsidRDefault="00DC6F27" w:rsidP="00297214">
      <w:pPr>
        <w:widowControl w:val="0"/>
        <w:tabs>
          <w:tab w:val="left" w:pos="990"/>
        </w:tabs>
        <w:spacing w:after="0"/>
        <w:ind w:hanging="594"/>
        <w:jc w:val="left"/>
        <w:rPr>
          <w:rFonts w:ascii="Arial" w:eastAsia="Times New Roman" w:hAnsi="Arial" w:cs="Arial"/>
          <w:snapToGrid w:val="0"/>
          <w:sz w:val="20"/>
          <w:szCs w:val="20"/>
        </w:rPr>
      </w:pPr>
    </w:p>
    <w:p w14:paraId="3C866ADD" w14:textId="5A3A3FC9" w:rsidR="00DC6F27" w:rsidRPr="00DE315E" w:rsidRDefault="00297214" w:rsidP="00297214">
      <w:pPr>
        <w:widowControl w:val="0"/>
        <w:tabs>
          <w:tab w:val="left" w:pos="990"/>
          <w:tab w:val="left" w:pos="1440"/>
        </w:tabs>
        <w:spacing w:after="0"/>
        <w:ind w:left="1440" w:hanging="360"/>
        <w:contextualSpacing/>
        <w:jc w:val="left"/>
        <w:rPr>
          <w:rFonts w:ascii="Arial" w:eastAsia="Times New Roman" w:hAnsi="Arial" w:cs="Arial"/>
          <w:sz w:val="20"/>
          <w:szCs w:val="20"/>
        </w:rPr>
      </w:pPr>
      <w:r>
        <w:rPr>
          <w:rFonts w:ascii="Arial" w:eastAsia="Times New Roman" w:hAnsi="Arial" w:cs="Arial"/>
          <w:bCs/>
          <w:sz w:val="20"/>
          <w:szCs w:val="20"/>
        </w:rPr>
        <w:t>iii.</w:t>
      </w:r>
      <w:r>
        <w:rPr>
          <w:rFonts w:ascii="Arial" w:eastAsia="Times New Roman" w:hAnsi="Arial" w:cs="Arial"/>
          <w:bCs/>
          <w:sz w:val="20"/>
          <w:szCs w:val="20"/>
        </w:rPr>
        <w:tab/>
      </w:r>
      <w:r w:rsidR="00DC6F27" w:rsidRPr="00DE315E">
        <w:rPr>
          <w:rFonts w:ascii="Arial" w:eastAsia="Times New Roman" w:hAnsi="Arial" w:cs="Arial"/>
          <w:b/>
          <w:sz w:val="20"/>
          <w:szCs w:val="20"/>
          <w:u w:val="single"/>
        </w:rPr>
        <w:t>Information and Reports</w:t>
      </w:r>
      <w:r w:rsidR="00DC6F27" w:rsidRPr="00DE315E">
        <w:rPr>
          <w:rFonts w:ascii="Arial" w:eastAsia="Times New Roman" w:hAnsi="Arial" w:cs="Arial"/>
          <w:sz w:val="20"/>
          <w:szCs w:val="20"/>
        </w:rPr>
        <w:t>.  Subrecipient shall provide all information and reports required, and shall permit access to its books, records, accounts, other sources of information, and its facilities as may be determined by PHB or any state or federal agency to be pertinent to ascertain compliance with orders and instructions.  Where any information required of a Subrecipient is in the exclusive possession of another who fails or refuses to furnish this information, Subrecipient shall so certify to PHB or any state or federal agency as appropriate, and shall set forth what efforts it has made to obtain the information.</w:t>
      </w:r>
    </w:p>
    <w:p w14:paraId="0BBE77F4" w14:textId="77777777" w:rsidR="00DC6F27" w:rsidRPr="00DE315E" w:rsidRDefault="00DC6F27" w:rsidP="00297214">
      <w:pPr>
        <w:widowControl w:val="0"/>
        <w:tabs>
          <w:tab w:val="left" w:pos="990"/>
        </w:tabs>
        <w:spacing w:after="0"/>
        <w:ind w:hanging="594"/>
        <w:jc w:val="left"/>
        <w:rPr>
          <w:rFonts w:ascii="Arial" w:eastAsia="Times New Roman" w:hAnsi="Arial" w:cs="Arial"/>
          <w:snapToGrid w:val="0"/>
          <w:sz w:val="20"/>
          <w:szCs w:val="20"/>
        </w:rPr>
      </w:pPr>
    </w:p>
    <w:p w14:paraId="250C930D" w14:textId="2C60B293" w:rsidR="00DC6F27" w:rsidRPr="00DE315E" w:rsidRDefault="00297214" w:rsidP="00297214">
      <w:pPr>
        <w:widowControl w:val="0"/>
        <w:tabs>
          <w:tab w:val="left" w:pos="1440"/>
        </w:tabs>
        <w:spacing w:after="0"/>
        <w:ind w:left="1440" w:hanging="360"/>
        <w:contextualSpacing/>
        <w:jc w:val="left"/>
        <w:rPr>
          <w:rFonts w:ascii="Arial" w:eastAsia="Times New Roman" w:hAnsi="Arial" w:cs="Arial"/>
          <w:sz w:val="20"/>
          <w:szCs w:val="20"/>
        </w:rPr>
      </w:pPr>
      <w:r>
        <w:rPr>
          <w:rFonts w:ascii="Arial" w:eastAsia="Times New Roman" w:hAnsi="Arial" w:cs="Arial"/>
          <w:bCs/>
          <w:sz w:val="20"/>
          <w:szCs w:val="20"/>
        </w:rPr>
        <w:t>iv.</w:t>
      </w:r>
      <w:r>
        <w:rPr>
          <w:rFonts w:ascii="Arial" w:eastAsia="Times New Roman" w:hAnsi="Arial" w:cs="Arial"/>
          <w:bCs/>
          <w:sz w:val="20"/>
          <w:szCs w:val="20"/>
        </w:rPr>
        <w:tab/>
      </w:r>
      <w:r w:rsidR="00DC6F27" w:rsidRPr="00DE315E">
        <w:rPr>
          <w:rFonts w:ascii="Arial" w:eastAsia="Times New Roman" w:hAnsi="Arial" w:cs="Arial"/>
          <w:b/>
          <w:sz w:val="20"/>
          <w:szCs w:val="20"/>
          <w:u w:val="single"/>
        </w:rPr>
        <w:t>Records and Inspection</w:t>
      </w:r>
      <w:r w:rsidR="00DC6F27" w:rsidRPr="00DE315E">
        <w:rPr>
          <w:rFonts w:ascii="Arial" w:eastAsia="Times New Roman" w:hAnsi="Arial" w:cs="Arial"/>
          <w:sz w:val="20"/>
          <w:szCs w:val="20"/>
        </w:rPr>
        <w:t>.  Subrecipient shall keep proper books of account and records on all activities associated with the Contract (collectively, the “Records”).  Subrecipient shall maintain the Records in accordance with generally accepted accounting principles and shall retain the Records for (5) five years after PHB makes final payments and all other pending matters are closed.  Subrecipient shall permit PHB, HUD, the Comptroller General of the United States, or any of their duly authorized representatives, to inspect, review and make excerpts and transcripts of the Records with respect to the receipt and disbursement of funds received hereunder. The authorized representatives shall have access to the Records at any reasonable time for as long as the Records are maintained.  This Section shall survive the expiration of the term and any termination of the Contract and upon such termination Subrecipient shall promptly transfer all Records to PHB.</w:t>
      </w:r>
    </w:p>
    <w:p w14:paraId="6E72112B" w14:textId="77777777" w:rsidR="00DC6F27" w:rsidRPr="00DE315E" w:rsidRDefault="00DC6F27" w:rsidP="00297214">
      <w:pPr>
        <w:widowControl w:val="0"/>
        <w:tabs>
          <w:tab w:val="left" w:pos="990"/>
        </w:tabs>
        <w:spacing w:after="0"/>
        <w:ind w:hanging="594"/>
        <w:jc w:val="left"/>
        <w:rPr>
          <w:rFonts w:ascii="Arial" w:eastAsia="Times New Roman" w:hAnsi="Arial" w:cs="Arial"/>
          <w:snapToGrid w:val="0"/>
          <w:sz w:val="20"/>
          <w:szCs w:val="20"/>
        </w:rPr>
      </w:pPr>
    </w:p>
    <w:p w14:paraId="29098859" w14:textId="753A0307" w:rsidR="00DC6F27" w:rsidRPr="00DE315E" w:rsidRDefault="00297214" w:rsidP="00297214">
      <w:pPr>
        <w:widowControl w:val="0"/>
        <w:tabs>
          <w:tab w:val="left" w:pos="1440"/>
        </w:tabs>
        <w:spacing w:after="0"/>
        <w:ind w:left="1440" w:hanging="360"/>
        <w:contextualSpacing/>
        <w:jc w:val="left"/>
        <w:rPr>
          <w:rFonts w:ascii="Arial" w:eastAsia="Times New Roman" w:hAnsi="Arial" w:cs="Arial"/>
          <w:sz w:val="20"/>
          <w:szCs w:val="20"/>
        </w:rPr>
      </w:pPr>
      <w:r>
        <w:rPr>
          <w:rFonts w:ascii="Arial" w:eastAsia="Times New Roman" w:hAnsi="Arial" w:cs="Arial"/>
          <w:bCs/>
          <w:sz w:val="20"/>
          <w:szCs w:val="20"/>
        </w:rPr>
        <w:t>v.</w:t>
      </w:r>
      <w:r>
        <w:rPr>
          <w:rFonts w:ascii="Arial" w:eastAsia="Times New Roman" w:hAnsi="Arial" w:cs="Arial"/>
          <w:bCs/>
          <w:sz w:val="20"/>
          <w:szCs w:val="20"/>
        </w:rPr>
        <w:tab/>
      </w:r>
      <w:r w:rsidR="00DC6F27" w:rsidRPr="00DE315E">
        <w:rPr>
          <w:rFonts w:ascii="Arial" w:eastAsia="Times New Roman" w:hAnsi="Arial" w:cs="Arial"/>
          <w:b/>
          <w:sz w:val="20"/>
          <w:szCs w:val="20"/>
          <w:u w:val="single"/>
        </w:rPr>
        <w:t>Audits</w:t>
      </w:r>
      <w:r w:rsidR="00DC6F27" w:rsidRPr="00DE315E">
        <w:rPr>
          <w:rFonts w:ascii="Arial" w:eastAsia="Times New Roman" w:hAnsi="Arial" w:cs="Arial"/>
          <w:sz w:val="20"/>
          <w:szCs w:val="20"/>
        </w:rPr>
        <w:t>.  PHB, HUD, the Comptroller General of the United States, or any of their duly authorized representatives, may at any time during normal business hours, as often as deemed necessary, to audit, examine, and make excerpts or transcripts of all relevant data.  Any deficiencies noted in audit reports must be fully cleared by Subrecipient within thirty (30) days after receipt by Subrecipient.  Failure of Subrecipient to comply with the above audit requirements will constitute a violation of the Contract and may result in the withholding of future payments. Subrecipient hereby agrees to have an annual agency audit conducted in accordance with City policy and OMB Circular A-133.</w:t>
      </w:r>
    </w:p>
    <w:p w14:paraId="6DC07D32" w14:textId="77777777" w:rsidR="00DC6F27" w:rsidRPr="00DE315E" w:rsidRDefault="00DC6F27" w:rsidP="00297214">
      <w:pPr>
        <w:widowControl w:val="0"/>
        <w:tabs>
          <w:tab w:val="left" w:pos="990"/>
        </w:tabs>
        <w:spacing w:after="0"/>
        <w:ind w:hanging="594"/>
        <w:jc w:val="left"/>
        <w:rPr>
          <w:rFonts w:ascii="Arial" w:eastAsia="Times New Roman" w:hAnsi="Arial" w:cs="Arial"/>
          <w:snapToGrid w:val="0"/>
          <w:sz w:val="20"/>
          <w:szCs w:val="20"/>
        </w:rPr>
      </w:pPr>
    </w:p>
    <w:p w14:paraId="0C8FD038" w14:textId="2274D1A5" w:rsidR="00DC6F27" w:rsidRPr="00DE315E" w:rsidRDefault="00297214" w:rsidP="00297214">
      <w:pPr>
        <w:widowControl w:val="0"/>
        <w:tabs>
          <w:tab w:val="left" w:pos="1440"/>
        </w:tabs>
        <w:spacing w:after="0"/>
        <w:ind w:left="1440" w:hanging="360"/>
        <w:contextualSpacing/>
        <w:jc w:val="left"/>
        <w:rPr>
          <w:rFonts w:ascii="Arial" w:eastAsia="Times New Roman" w:hAnsi="Arial" w:cs="Arial"/>
          <w:sz w:val="20"/>
          <w:szCs w:val="20"/>
        </w:rPr>
      </w:pPr>
      <w:r>
        <w:rPr>
          <w:rFonts w:ascii="Arial" w:eastAsia="Times New Roman" w:hAnsi="Arial" w:cs="Arial"/>
          <w:bCs/>
          <w:sz w:val="20"/>
          <w:szCs w:val="20"/>
        </w:rPr>
        <w:t>vi.</w:t>
      </w:r>
      <w:r>
        <w:rPr>
          <w:rFonts w:ascii="Arial" w:eastAsia="Times New Roman" w:hAnsi="Arial" w:cs="Arial"/>
          <w:bCs/>
          <w:sz w:val="20"/>
          <w:szCs w:val="20"/>
        </w:rPr>
        <w:tab/>
      </w:r>
      <w:r w:rsidR="00DC6F27" w:rsidRPr="00DE315E">
        <w:rPr>
          <w:rFonts w:ascii="Arial" w:eastAsia="Times New Roman" w:hAnsi="Arial" w:cs="Arial"/>
          <w:b/>
          <w:sz w:val="20"/>
          <w:szCs w:val="20"/>
          <w:u w:val="single"/>
        </w:rPr>
        <w:t>Political Activity</w:t>
      </w:r>
      <w:r w:rsidR="00DC6F27" w:rsidRPr="00DE315E">
        <w:rPr>
          <w:rFonts w:ascii="Arial" w:eastAsia="Times New Roman" w:hAnsi="Arial" w:cs="Arial"/>
          <w:sz w:val="20"/>
          <w:szCs w:val="20"/>
        </w:rPr>
        <w:t>. Subrecipient shall not permit any of the funds, materials, property or services provided under the Contract to be used for any partisan political activity, or to further the election or defeat of any candidate for public office, or for publicity or propaganda purposes designed to support or defeat legislation pending before the United States Congress, the State of Oregon, the County of Multnomah or the City of Portland.</w:t>
      </w:r>
    </w:p>
    <w:p w14:paraId="04339AF0" w14:textId="77777777" w:rsidR="00DC6F27" w:rsidRPr="00DE315E" w:rsidRDefault="00DC6F27" w:rsidP="00297214">
      <w:pPr>
        <w:tabs>
          <w:tab w:val="left" w:pos="990"/>
        </w:tabs>
        <w:spacing w:after="0"/>
        <w:ind w:left="720" w:hanging="594"/>
        <w:contextualSpacing/>
        <w:jc w:val="left"/>
        <w:rPr>
          <w:rFonts w:ascii="Arial" w:eastAsia="Times New Roman" w:hAnsi="Arial" w:cs="Arial"/>
          <w:sz w:val="20"/>
          <w:szCs w:val="20"/>
        </w:rPr>
      </w:pPr>
    </w:p>
    <w:p w14:paraId="4ACB8B34" w14:textId="6D7ED12C" w:rsidR="00DC6F27" w:rsidRPr="00DE315E" w:rsidRDefault="00297214" w:rsidP="00297214">
      <w:pPr>
        <w:widowControl w:val="0"/>
        <w:tabs>
          <w:tab w:val="left" w:pos="1440"/>
        </w:tabs>
        <w:spacing w:after="0"/>
        <w:ind w:left="1440" w:hanging="360"/>
        <w:contextualSpacing/>
        <w:jc w:val="left"/>
        <w:rPr>
          <w:rFonts w:ascii="Arial" w:eastAsia="Times New Roman" w:hAnsi="Arial" w:cs="Arial"/>
          <w:sz w:val="20"/>
          <w:szCs w:val="20"/>
        </w:rPr>
      </w:pPr>
      <w:r>
        <w:rPr>
          <w:rFonts w:ascii="Arial" w:eastAsia="Times New Roman" w:hAnsi="Arial" w:cs="Arial"/>
          <w:bCs/>
          <w:sz w:val="20"/>
          <w:szCs w:val="20"/>
        </w:rPr>
        <w:t>vii.</w:t>
      </w:r>
      <w:r>
        <w:rPr>
          <w:rFonts w:ascii="Arial" w:eastAsia="Times New Roman" w:hAnsi="Arial" w:cs="Arial"/>
          <w:bCs/>
          <w:sz w:val="20"/>
          <w:szCs w:val="20"/>
        </w:rPr>
        <w:tab/>
      </w:r>
      <w:r w:rsidR="00DC6F27" w:rsidRPr="00DE315E">
        <w:rPr>
          <w:rFonts w:ascii="Arial" w:eastAsia="Times New Roman" w:hAnsi="Arial" w:cs="Arial"/>
          <w:b/>
          <w:sz w:val="20"/>
          <w:szCs w:val="20"/>
          <w:u w:val="single"/>
        </w:rPr>
        <w:t>City Recognition</w:t>
      </w:r>
      <w:r w:rsidR="00DC6F27" w:rsidRPr="00DE315E">
        <w:rPr>
          <w:rFonts w:ascii="Arial" w:eastAsia="Times New Roman" w:hAnsi="Arial" w:cs="Arial"/>
          <w:sz w:val="20"/>
          <w:szCs w:val="20"/>
        </w:rPr>
        <w:t>. Subrecipient shall insure recognition of the role of PHB in providing services through the Contract. All activities, facilities and items utilized pursuant to the Contract</w:t>
      </w:r>
      <w:r w:rsidR="00DC6F27" w:rsidRPr="00DE315E" w:rsidDel="00392B3D">
        <w:rPr>
          <w:rFonts w:ascii="Arial" w:eastAsia="Times New Roman" w:hAnsi="Arial" w:cs="Arial"/>
          <w:sz w:val="20"/>
          <w:szCs w:val="20"/>
        </w:rPr>
        <w:t xml:space="preserve"> </w:t>
      </w:r>
      <w:r w:rsidR="00DC6F27" w:rsidRPr="00DE315E">
        <w:rPr>
          <w:rFonts w:ascii="Arial" w:eastAsia="Times New Roman" w:hAnsi="Arial" w:cs="Arial"/>
          <w:sz w:val="20"/>
          <w:szCs w:val="20"/>
        </w:rPr>
        <w:t xml:space="preserve">shall be prominently labeled as to funding source. In addition, Subrecipient will </w:t>
      </w:r>
      <w:r w:rsidR="00DC6F27" w:rsidRPr="00DE315E">
        <w:rPr>
          <w:rFonts w:ascii="Arial" w:eastAsia="Times New Roman" w:hAnsi="Arial" w:cs="Arial"/>
          <w:sz w:val="20"/>
          <w:szCs w:val="20"/>
        </w:rPr>
        <w:lastRenderedPageBreak/>
        <w:t xml:space="preserve">include a reference to the support provided herein in all publications made possible with funds made available under the Contract. </w:t>
      </w:r>
    </w:p>
    <w:p w14:paraId="7DA8358F" w14:textId="77777777" w:rsidR="00DC6F27" w:rsidRPr="00DE315E" w:rsidRDefault="00DC6F27" w:rsidP="00297214">
      <w:pPr>
        <w:widowControl w:val="0"/>
        <w:tabs>
          <w:tab w:val="left" w:pos="990"/>
        </w:tabs>
        <w:spacing w:after="0"/>
        <w:ind w:hanging="594"/>
        <w:jc w:val="left"/>
        <w:rPr>
          <w:rFonts w:ascii="Arial" w:eastAsia="Times New Roman" w:hAnsi="Arial" w:cs="Arial"/>
          <w:snapToGrid w:val="0"/>
          <w:sz w:val="20"/>
          <w:szCs w:val="20"/>
        </w:rPr>
      </w:pPr>
    </w:p>
    <w:p w14:paraId="391BAFD4" w14:textId="3E3675B2" w:rsidR="00DC6F27" w:rsidRPr="004475EE" w:rsidRDefault="00EA03A1" w:rsidP="00EA03A1">
      <w:pPr>
        <w:widowControl w:val="0"/>
        <w:tabs>
          <w:tab w:val="left" w:pos="1440"/>
        </w:tabs>
        <w:spacing w:after="0"/>
        <w:ind w:left="1440" w:hanging="360"/>
        <w:contextualSpacing/>
        <w:jc w:val="left"/>
        <w:rPr>
          <w:rFonts w:ascii="Arial" w:eastAsia="Times New Roman" w:hAnsi="Arial" w:cs="Arial"/>
          <w:sz w:val="20"/>
          <w:szCs w:val="20"/>
        </w:rPr>
      </w:pPr>
      <w:r>
        <w:rPr>
          <w:rFonts w:ascii="Arial" w:eastAsia="Times New Roman" w:hAnsi="Arial" w:cs="Arial"/>
          <w:bCs/>
          <w:sz w:val="20"/>
          <w:szCs w:val="20"/>
        </w:rPr>
        <w:t>viii.</w:t>
      </w:r>
      <w:r>
        <w:rPr>
          <w:rFonts w:ascii="Arial" w:eastAsia="Times New Roman" w:hAnsi="Arial" w:cs="Arial"/>
          <w:bCs/>
          <w:sz w:val="20"/>
          <w:szCs w:val="20"/>
        </w:rPr>
        <w:tab/>
      </w:r>
      <w:r w:rsidR="00DC6F27" w:rsidRPr="004475EE">
        <w:rPr>
          <w:rFonts w:ascii="Arial" w:eastAsia="Times New Roman" w:hAnsi="Arial" w:cs="Arial"/>
          <w:b/>
          <w:sz w:val="20"/>
          <w:szCs w:val="20"/>
          <w:u w:val="single"/>
        </w:rPr>
        <w:t>Indemnification</w:t>
      </w:r>
      <w:r w:rsidR="00DC6F27" w:rsidRPr="004475EE">
        <w:rPr>
          <w:rFonts w:ascii="Arial" w:eastAsia="Times New Roman" w:hAnsi="Arial" w:cs="Arial"/>
          <w:sz w:val="20"/>
          <w:szCs w:val="20"/>
        </w:rPr>
        <w:t xml:space="preserve">.  </w:t>
      </w:r>
      <w:r w:rsidR="004475EE" w:rsidRPr="004475EE">
        <w:rPr>
          <w:rFonts w:ascii="Arial" w:hAnsi="Arial" w:cs="Arial"/>
          <w:sz w:val="20"/>
          <w:szCs w:val="20"/>
        </w:rPr>
        <w:t xml:space="preserve">Subject to the conditions and limitations of the Oregon Constitution and the Oregon Tort Claims Act, ORS 30.260 through 30.300, </w:t>
      </w:r>
      <w:r w:rsidR="00DC6F27" w:rsidRPr="004475EE">
        <w:rPr>
          <w:rFonts w:ascii="Arial" w:eastAsia="Times New Roman" w:hAnsi="Arial" w:cs="Arial"/>
          <w:sz w:val="20"/>
          <w:szCs w:val="20"/>
        </w:rPr>
        <w:t xml:space="preserve">Subrecipient shall hold harmless, defend, and indemnify PHB, the City of Portland, and its officers, agents and employees against all claims, demands, actions, and suits (including all attorney fees and costs) brought against any of them arising from actions or omissions of Subrecipient and/or its contractors in the performance of the Contract.  </w:t>
      </w:r>
      <w:r w:rsidR="004475EE" w:rsidRPr="004475EE">
        <w:rPr>
          <w:rFonts w:ascii="Arial" w:hAnsi="Arial" w:cs="Arial"/>
          <w:sz w:val="20"/>
          <w:szCs w:val="20"/>
        </w:rPr>
        <w:t xml:space="preserve">Subject to the conditions and limitations of the Oregon Constitution and the Oregon Tort Claims Act, ORS 30.260 through 30.300, </w:t>
      </w:r>
      <w:r w:rsidR="004475EE" w:rsidRPr="004475EE">
        <w:rPr>
          <w:rFonts w:ascii="Arial" w:eastAsia="Times New Roman" w:hAnsi="Arial" w:cs="Arial"/>
          <w:sz w:val="20"/>
          <w:szCs w:val="20"/>
        </w:rPr>
        <w:t xml:space="preserve">City shall hold harmless, defend, and indemnify Gresham, and its officers, agents and employees against all claims, demands, actions, and suits (including all attorney fees and costs) brought against any of them arising from actions or omissions of City and/or its contractors in the performance of the Contract.  </w:t>
      </w:r>
      <w:r w:rsidR="00DC6F27" w:rsidRPr="004475EE">
        <w:rPr>
          <w:rFonts w:ascii="Arial" w:eastAsia="Times New Roman" w:hAnsi="Arial" w:cs="Arial"/>
          <w:sz w:val="20"/>
          <w:szCs w:val="20"/>
        </w:rPr>
        <w:t>This duty shall survive the expiration or termination of the Contract.</w:t>
      </w:r>
    </w:p>
    <w:p w14:paraId="76351BAC" w14:textId="77777777" w:rsidR="00DC6F27" w:rsidRPr="00DE315E" w:rsidRDefault="00DC6F27" w:rsidP="00297214">
      <w:pPr>
        <w:widowControl w:val="0"/>
        <w:tabs>
          <w:tab w:val="left" w:pos="990"/>
        </w:tabs>
        <w:spacing w:after="0"/>
        <w:ind w:hanging="594"/>
        <w:jc w:val="left"/>
        <w:rPr>
          <w:rFonts w:ascii="Arial" w:eastAsia="Times New Roman" w:hAnsi="Arial" w:cs="Arial"/>
          <w:snapToGrid w:val="0"/>
          <w:sz w:val="20"/>
          <w:szCs w:val="20"/>
        </w:rPr>
      </w:pPr>
    </w:p>
    <w:p w14:paraId="6E739682" w14:textId="4E77F500" w:rsidR="00DC6F27" w:rsidRPr="00DE315E" w:rsidRDefault="00EA03A1" w:rsidP="00EA03A1">
      <w:pPr>
        <w:widowControl w:val="0"/>
        <w:tabs>
          <w:tab w:val="left" w:pos="1440"/>
        </w:tabs>
        <w:spacing w:after="0"/>
        <w:ind w:left="1440" w:hanging="360"/>
        <w:contextualSpacing/>
        <w:jc w:val="left"/>
        <w:rPr>
          <w:rFonts w:ascii="Arial" w:eastAsia="Times New Roman" w:hAnsi="Arial" w:cs="Arial"/>
          <w:sz w:val="20"/>
          <w:szCs w:val="20"/>
        </w:rPr>
      </w:pPr>
      <w:r>
        <w:rPr>
          <w:rFonts w:ascii="Arial" w:eastAsia="Times New Roman" w:hAnsi="Arial" w:cs="Arial"/>
          <w:bCs/>
          <w:sz w:val="20"/>
          <w:szCs w:val="20"/>
        </w:rPr>
        <w:t>ix.</w:t>
      </w:r>
      <w:r>
        <w:rPr>
          <w:rFonts w:ascii="Arial" w:eastAsia="Times New Roman" w:hAnsi="Arial" w:cs="Arial"/>
          <w:bCs/>
          <w:sz w:val="20"/>
          <w:szCs w:val="20"/>
        </w:rPr>
        <w:tab/>
      </w:r>
      <w:r w:rsidR="00DC6F27" w:rsidRPr="00DE315E">
        <w:rPr>
          <w:rFonts w:ascii="Arial" w:eastAsia="Times New Roman" w:hAnsi="Arial" w:cs="Arial"/>
          <w:b/>
          <w:sz w:val="20"/>
          <w:szCs w:val="20"/>
          <w:u w:val="single"/>
        </w:rPr>
        <w:t>Insurance</w:t>
      </w:r>
      <w:r w:rsidR="00DC6F27" w:rsidRPr="00DE315E">
        <w:rPr>
          <w:rFonts w:ascii="Arial" w:eastAsia="Times New Roman" w:hAnsi="Arial" w:cs="Arial"/>
          <w:sz w:val="20"/>
          <w:szCs w:val="20"/>
        </w:rPr>
        <w:t>.  Subrecipient shall obtain and maintain in full force at its expense, throughout the term of the Contract and any extension periods, the required insurance identified below.  PHB reserves the right to require additional insurance coverage as may be required by statutory changes during the term.</w:t>
      </w:r>
    </w:p>
    <w:p w14:paraId="6361F156"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3F7450AD" w14:textId="77777777" w:rsidR="00DC6F27" w:rsidRPr="00DE315E" w:rsidRDefault="00DC6F27" w:rsidP="00EA03A1">
      <w:pPr>
        <w:widowControl w:val="0"/>
        <w:numPr>
          <w:ilvl w:val="5"/>
          <w:numId w:val="1"/>
        </w:numPr>
        <w:tabs>
          <w:tab w:val="clear" w:pos="2808"/>
          <w:tab w:val="num" w:pos="1800"/>
        </w:tabs>
        <w:spacing w:after="0"/>
        <w:ind w:left="1800" w:hanging="360"/>
        <w:contextualSpacing/>
        <w:jc w:val="left"/>
        <w:rPr>
          <w:rFonts w:ascii="Arial" w:eastAsia="Times New Roman" w:hAnsi="Arial" w:cs="Arial"/>
          <w:sz w:val="20"/>
          <w:szCs w:val="20"/>
        </w:rPr>
      </w:pPr>
      <w:r w:rsidRPr="00DE315E">
        <w:rPr>
          <w:rFonts w:ascii="Arial" w:eastAsia="Times New Roman" w:hAnsi="Arial" w:cs="Arial"/>
          <w:b/>
          <w:sz w:val="20"/>
          <w:szCs w:val="20"/>
        </w:rPr>
        <w:t>Workers’ Compensation Insurance</w:t>
      </w:r>
      <w:r w:rsidRPr="00DE315E">
        <w:rPr>
          <w:rFonts w:ascii="Arial" w:eastAsia="Times New Roman" w:hAnsi="Arial" w:cs="Arial"/>
          <w:sz w:val="20"/>
          <w:szCs w:val="20"/>
        </w:rPr>
        <w:t xml:space="preserve">.  Subrecipient, its contractors and all employers working under the Contract shall comply with ORS Chapter 656 and as it may be amended from time to time.  Unless exempt under ORS Chapter 656, Subrecipient, its contractors and any employers working under the Contract shall maintain coverage for all subject workers. </w:t>
      </w:r>
    </w:p>
    <w:p w14:paraId="6C47CDEB" w14:textId="77777777" w:rsidR="00DC6F27" w:rsidRPr="00DE315E" w:rsidRDefault="00DC6F27" w:rsidP="00EA03A1">
      <w:pPr>
        <w:tabs>
          <w:tab w:val="num" w:pos="1800"/>
        </w:tabs>
        <w:spacing w:after="0"/>
        <w:ind w:left="1800" w:hanging="360"/>
        <w:contextualSpacing/>
        <w:jc w:val="left"/>
        <w:rPr>
          <w:rFonts w:ascii="Arial" w:eastAsia="Times New Roman" w:hAnsi="Arial" w:cs="Arial"/>
          <w:sz w:val="20"/>
          <w:szCs w:val="20"/>
        </w:rPr>
      </w:pPr>
    </w:p>
    <w:p w14:paraId="19B39EBE" w14:textId="77777777" w:rsidR="00DC6F27" w:rsidRPr="00DE315E" w:rsidRDefault="00DC6F27" w:rsidP="00EA03A1">
      <w:pPr>
        <w:widowControl w:val="0"/>
        <w:numPr>
          <w:ilvl w:val="5"/>
          <w:numId w:val="1"/>
        </w:numPr>
        <w:tabs>
          <w:tab w:val="clear" w:pos="2808"/>
          <w:tab w:val="num" w:pos="1800"/>
        </w:tabs>
        <w:spacing w:after="0"/>
        <w:ind w:left="1800" w:hanging="360"/>
        <w:contextualSpacing/>
        <w:jc w:val="left"/>
        <w:rPr>
          <w:rFonts w:ascii="Arial" w:eastAsia="Times New Roman" w:hAnsi="Arial" w:cs="Arial"/>
          <w:sz w:val="20"/>
          <w:szCs w:val="20"/>
        </w:rPr>
      </w:pPr>
      <w:r w:rsidRPr="00DE315E">
        <w:rPr>
          <w:rFonts w:ascii="Arial" w:eastAsia="Times New Roman" w:hAnsi="Arial" w:cs="Arial"/>
          <w:b/>
          <w:sz w:val="20"/>
          <w:szCs w:val="20"/>
        </w:rPr>
        <w:t>Commercial General Liability Insurance</w:t>
      </w:r>
      <w:r w:rsidRPr="00DE315E">
        <w:rPr>
          <w:rFonts w:ascii="Arial" w:eastAsia="Times New Roman" w:hAnsi="Arial" w:cs="Arial"/>
          <w:sz w:val="20"/>
          <w:szCs w:val="20"/>
        </w:rPr>
        <w:t xml:space="preserve">:  Subrecipient shall have commercial general liability insurance covering bodily injury, personal injury, property damage, including coverage for independent contractor’s protection (required if any work will be subcontracted), premises/operations, contractual liability, products and completed operations, in a per occurrence limit of not less than $1,000,000, and aggregate limit of not less than $2,000,000. </w:t>
      </w:r>
    </w:p>
    <w:p w14:paraId="1ADDA7EE" w14:textId="77777777" w:rsidR="00DC6F27" w:rsidRPr="00DE315E" w:rsidRDefault="00DC6F27" w:rsidP="00EA03A1">
      <w:pPr>
        <w:widowControl w:val="0"/>
        <w:tabs>
          <w:tab w:val="num" w:pos="1800"/>
        </w:tabs>
        <w:spacing w:after="0"/>
        <w:ind w:left="1800" w:hanging="360"/>
        <w:jc w:val="left"/>
        <w:rPr>
          <w:rFonts w:ascii="Arial" w:eastAsia="Times New Roman" w:hAnsi="Arial" w:cs="Arial"/>
          <w:snapToGrid w:val="0"/>
          <w:sz w:val="20"/>
          <w:szCs w:val="20"/>
        </w:rPr>
      </w:pPr>
    </w:p>
    <w:p w14:paraId="4480252F" w14:textId="77777777" w:rsidR="00DC6F27" w:rsidRPr="00DE315E" w:rsidRDefault="00DC6F27" w:rsidP="00EA03A1">
      <w:pPr>
        <w:widowControl w:val="0"/>
        <w:numPr>
          <w:ilvl w:val="5"/>
          <w:numId w:val="1"/>
        </w:numPr>
        <w:tabs>
          <w:tab w:val="clear" w:pos="2808"/>
          <w:tab w:val="num" w:pos="1800"/>
        </w:tabs>
        <w:spacing w:after="0"/>
        <w:ind w:left="1800" w:hanging="360"/>
        <w:contextualSpacing/>
        <w:jc w:val="left"/>
        <w:rPr>
          <w:rFonts w:ascii="Arial" w:eastAsia="Times New Roman" w:hAnsi="Arial" w:cs="Arial"/>
          <w:sz w:val="20"/>
          <w:szCs w:val="20"/>
        </w:rPr>
      </w:pPr>
      <w:r w:rsidRPr="00DE315E">
        <w:rPr>
          <w:rFonts w:ascii="Arial" w:eastAsia="Times New Roman" w:hAnsi="Arial" w:cs="Arial"/>
          <w:b/>
          <w:sz w:val="20"/>
          <w:szCs w:val="20"/>
        </w:rPr>
        <w:t>Automobile Liability Insurance</w:t>
      </w:r>
      <w:r w:rsidRPr="00DE315E">
        <w:rPr>
          <w:rFonts w:ascii="Arial" w:eastAsia="Times New Roman" w:hAnsi="Arial" w:cs="Arial"/>
          <w:sz w:val="20"/>
          <w:szCs w:val="20"/>
        </w:rPr>
        <w:t xml:space="preserve">: Subrecipient shall have automobile liability insurance with coverage of not less than $1,000,000 each accident.  The insurance shall include coverage for any auto or all owned, scheduled, hired and non-owned auto.  This coverage may be combined with the commercial general liability insurance policy.  </w:t>
      </w:r>
    </w:p>
    <w:p w14:paraId="031F601C" w14:textId="77777777" w:rsidR="00DC6F27" w:rsidRPr="00DE315E" w:rsidRDefault="00DC6F27" w:rsidP="00EA03A1">
      <w:pPr>
        <w:widowControl w:val="0"/>
        <w:tabs>
          <w:tab w:val="num" w:pos="1800"/>
        </w:tabs>
        <w:spacing w:after="0"/>
        <w:ind w:left="1800" w:hanging="360"/>
        <w:jc w:val="left"/>
        <w:rPr>
          <w:rFonts w:ascii="Arial" w:eastAsia="Times New Roman" w:hAnsi="Arial" w:cs="Arial"/>
          <w:snapToGrid w:val="0"/>
          <w:sz w:val="20"/>
          <w:szCs w:val="20"/>
        </w:rPr>
      </w:pPr>
    </w:p>
    <w:p w14:paraId="65B6B217" w14:textId="77777777" w:rsidR="00DC6F27" w:rsidRPr="00DE315E" w:rsidRDefault="00DC6F27" w:rsidP="00EA03A1">
      <w:pPr>
        <w:widowControl w:val="0"/>
        <w:numPr>
          <w:ilvl w:val="5"/>
          <w:numId w:val="1"/>
        </w:numPr>
        <w:tabs>
          <w:tab w:val="clear" w:pos="2808"/>
          <w:tab w:val="num" w:pos="1800"/>
        </w:tabs>
        <w:spacing w:after="0"/>
        <w:ind w:left="1800" w:hanging="360"/>
        <w:contextualSpacing/>
        <w:jc w:val="left"/>
        <w:rPr>
          <w:rFonts w:ascii="Arial" w:eastAsia="Times New Roman" w:hAnsi="Arial" w:cs="Arial"/>
          <w:sz w:val="20"/>
          <w:szCs w:val="20"/>
        </w:rPr>
      </w:pPr>
      <w:r w:rsidRPr="00DE315E">
        <w:rPr>
          <w:rFonts w:ascii="Arial" w:eastAsia="Times New Roman" w:hAnsi="Arial" w:cs="Arial"/>
          <w:b/>
          <w:sz w:val="20"/>
          <w:szCs w:val="20"/>
          <w:u w:val="single"/>
        </w:rPr>
        <w:t>Additional Insured</w:t>
      </w:r>
      <w:r w:rsidRPr="00DE315E">
        <w:rPr>
          <w:rFonts w:ascii="Arial" w:eastAsia="Times New Roman" w:hAnsi="Arial" w:cs="Arial"/>
          <w:sz w:val="20"/>
          <w:szCs w:val="20"/>
        </w:rPr>
        <w:t>: The liability insurance coverages, except Professional Liability, Errors and Omissions, or Workers’ Compensation where applicable, shall be shall be without prejudice to coverage otherwise existing, and shall name the City of Portland and its bureaus/divisions, officers, agents and employees as Additional Insureds, with respect to the Subrecipient’s or its contractor’s activities to be performed or services to be provided.  Coverage shall be primary and non-contributory with any other insurance and self-insurance.  Notwithstanding the naming of additional insureds, the insurance shall protect each additional insured in the same manner as though a separate policy had been issued to each, but nothing herein shall operate to increase the insurer's liability as set forth elsewhere in the policy beyond the amount or amounts for which the insurer would have been liable if only one person or interest had been named as insured.</w:t>
      </w:r>
    </w:p>
    <w:p w14:paraId="2CDB04BC" w14:textId="77777777" w:rsidR="00DC6F27" w:rsidRPr="00DE315E" w:rsidRDefault="00DC6F27" w:rsidP="00EA03A1">
      <w:pPr>
        <w:tabs>
          <w:tab w:val="num" w:pos="1800"/>
        </w:tabs>
        <w:spacing w:after="0"/>
        <w:ind w:left="1800" w:hanging="360"/>
        <w:contextualSpacing/>
        <w:jc w:val="left"/>
        <w:rPr>
          <w:rFonts w:ascii="Arial" w:eastAsia="Times New Roman" w:hAnsi="Arial" w:cs="Arial"/>
          <w:sz w:val="20"/>
          <w:szCs w:val="20"/>
        </w:rPr>
      </w:pPr>
    </w:p>
    <w:p w14:paraId="69516BBF" w14:textId="77777777" w:rsidR="004865E1" w:rsidRDefault="00DC6F27" w:rsidP="00EA03A1">
      <w:pPr>
        <w:widowControl w:val="0"/>
        <w:numPr>
          <w:ilvl w:val="5"/>
          <w:numId w:val="1"/>
        </w:numPr>
        <w:tabs>
          <w:tab w:val="clear" w:pos="2808"/>
          <w:tab w:val="num" w:pos="1800"/>
        </w:tabs>
        <w:spacing w:after="0"/>
        <w:ind w:left="1800" w:hanging="360"/>
        <w:contextualSpacing/>
        <w:jc w:val="left"/>
        <w:rPr>
          <w:rFonts w:ascii="Arial" w:eastAsia="Times New Roman" w:hAnsi="Arial" w:cs="Arial"/>
          <w:sz w:val="20"/>
          <w:szCs w:val="20"/>
        </w:rPr>
      </w:pPr>
      <w:r w:rsidRPr="00DE315E">
        <w:rPr>
          <w:rFonts w:ascii="Arial" w:eastAsia="Times New Roman" w:hAnsi="Arial" w:cs="Arial"/>
          <w:b/>
          <w:sz w:val="20"/>
          <w:szCs w:val="20"/>
          <w:u w:val="single"/>
        </w:rPr>
        <w:t>Continuous Coverage</w:t>
      </w:r>
      <w:r w:rsidRPr="00DE315E">
        <w:rPr>
          <w:rFonts w:ascii="Arial" w:eastAsia="Times New Roman" w:hAnsi="Arial" w:cs="Arial"/>
          <w:sz w:val="20"/>
          <w:szCs w:val="20"/>
        </w:rPr>
        <w:t xml:space="preserve">; Notice of Cancellation:  Subrecipient shall maintain continuous, uninterrupted coverage for the duration of the Contract.  There shall be no termination, cancellation, material change, potential exhaustion of aggregate limits </w:t>
      </w:r>
      <w:r w:rsidRPr="00DE315E">
        <w:rPr>
          <w:rFonts w:ascii="Arial" w:eastAsia="Times New Roman" w:hAnsi="Arial" w:cs="Arial"/>
          <w:sz w:val="20"/>
          <w:szCs w:val="20"/>
        </w:rPr>
        <w:lastRenderedPageBreak/>
        <w:t>or nonrenewal of coverage without thirty (30) days written notice from Subrecipient to PHB.  If the insurance is canceled or terminated prior to termination of the Contract, Subrecipient shall immediately notify PHB and provide a new policy with the same terms.  Any failure to comply with this clause shall constitute a material breach of the Contract and shall be grounds for immediate termination of the Contract.</w:t>
      </w:r>
    </w:p>
    <w:p w14:paraId="739F7B37" w14:textId="77777777" w:rsidR="004865E1" w:rsidRPr="004865E1" w:rsidRDefault="004865E1" w:rsidP="00EA03A1">
      <w:pPr>
        <w:widowControl w:val="0"/>
        <w:tabs>
          <w:tab w:val="num" w:pos="1800"/>
        </w:tabs>
        <w:spacing w:after="0"/>
        <w:ind w:left="1800" w:hanging="360"/>
        <w:contextualSpacing/>
        <w:jc w:val="left"/>
        <w:rPr>
          <w:rFonts w:ascii="Arial" w:eastAsia="Times New Roman" w:hAnsi="Arial" w:cs="Arial"/>
          <w:sz w:val="20"/>
          <w:szCs w:val="20"/>
        </w:rPr>
      </w:pPr>
    </w:p>
    <w:p w14:paraId="4846DE59" w14:textId="77777777" w:rsidR="004865E1" w:rsidRPr="004865E1" w:rsidRDefault="004865E1" w:rsidP="00EA03A1">
      <w:pPr>
        <w:widowControl w:val="0"/>
        <w:numPr>
          <w:ilvl w:val="5"/>
          <w:numId w:val="1"/>
        </w:numPr>
        <w:tabs>
          <w:tab w:val="clear" w:pos="2808"/>
          <w:tab w:val="num" w:pos="1800"/>
        </w:tabs>
        <w:spacing w:after="0"/>
        <w:ind w:left="1800" w:hanging="360"/>
        <w:contextualSpacing/>
        <w:jc w:val="left"/>
        <w:rPr>
          <w:rFonts w:ascii="Arial" w:eastAsia="Times New Roman" w:hAnsi="Arial" w:cs="Arial"/>
          <w:sz w:val="20"/>
          <w:szCs w:val="20"/>
        </w:rPr>
      </w:pPr>
      <w:r>
        <w:rPr>
          <w:rFonts w:ascii="Arial" w:hAnsi="Arial" w:cs="Arial"/>
          <w:sz w:val="20"/>
          <w:szCs w:val="20"/>
        </w:rPr>
        <w:t xml:space="preserve">Gresham </w:t>
      </w:r>
      <w:r w:rsidRPr="004865E1">
        <w:rPr>
          <w:rFonts w:ascii="Arial" w:hAnsi="Arial" w:cs="Arial"/>
          <w:sz w:val="20"/>
          <w:szCs w:val="20"/>
        </w:rPr>
        <w:t xml:space="preserve">shall </w:t>
      </w:r>
      <w:r>
        <w:rPr>
          <w:rFonts w:ascii="Arial" w:hAnsi="Arial" w:cs="Arial"/>
          <w:sz w:val="20"/>
          <w:szCs w:val="20"/>
        </w:rPr>
        <w:t xml:space="preserve">not </w:t>
      </w:r>
      <w:r w:rsidRPr="004865E1">
        <w:rPr>
          <w:rFonts w:ascii="Arial" w:hAnsi="Arial" w:cs="Arial"/>
          <w:sz w:val="20"/>
          <w:szCs w:val="20"/>
        </w:rPr>
        <w:t xml:space="preserve">be required to show proof of </w:t>
      </w:r>
      <w:r>
        <w:rPr>
          <w:rFonts w:ascii="Arial" w:hAnsi="Arial" w:cs="Arial"/>
          <w:sz w:val="20"/>
          <w:szCs w:val="20"/>
        </w:rPr>
        <w:t>the above</w:t>
      </w:r>
      <w:r w:rsidRPr="004865E1">
        <w:rPr>
          <w:rFonts w:ascii="Arial" w:hAnsi="Arial" w:cs="Arial"/>
          <w:sz w:val="20"/>
          <w:szCs w:val="20"/>
        </w:rPr>
        <w:t xml:space="preserve"> insurance coverage.</w:t>
      </w:r>
    </w:p>
    <w:p w14:paraId="61CCCF6D" w14:textId="77777777" w:rsidR="00DC6F27" w:rsidRPr="00DE315E" w:rsidRDefault="00DC6F27" w:rsidP="00DC6F27">
      <w:pPr>
        <w:spacing w:after="0"/>
        <w:ind w:left="720"/>
        <w:contextualSpacing/>
        <w:jc w:val="left"/>
        <w:rPr>
          <w:rFonts w:ascii="Arial" w:eastAsia="Times New Roman" w:hAnsi="Arial" w:cs="Arial"/>
          <w:sz w:val="20"/>
          <w:szCs w:val="20"/>
        </w:rPr>
      </w:pPr>
    </w:p>
    <w:p w14:paraId="093E734D" w14:textId="77777777" w:rsidR="00DC6F27" w:rsidRPr="00DE315E" w:rsidRDefault="00DC6F27" w:rsidP="00DC6F27">
      <w:pPr>
        <w:widowControl w:val="0"/>
        <w:spacing w:after="0"/>
        <w:jc w:val="left"/>
        <w:rPr>
          <w:rFonts w:ascii="Arial" w:eastAsia="Times New Roman" w:hAnsi="Arial" w:cs="Arial"/>
          <w:b/>
          <w:snapToGrid w:val="0"/>
          <w:sz w:val="20"/>
          <w:szCs w:val="20"/>
        </w:rPr>
      </w:pPr>
      <w:r w:rsidRPr="00DE315E">
        <w:rPr>
          <w:rFonts w:ascii="Arial" w:eastAsia="Times New Roman" w:hAnsi="Arial" w:cs="Arial"/>
          <w:b/>
          <w:snapToGrid w:val="0"/>
          <w:sz w:val="20"/>
          <w:szCs w:val="20"/>
        </w:rPr>
        <w:t>RIGHTS AND REMEDIES UPON EVENT OF DEFAULT; TERMINATION</w:t>
      </w:r>
    </w:p>
    <w:p w14:paraId="3BD9F743"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33EF9836"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sz w:val="20"/>
          <w:szCs w:val="20"/>
        </w:rPr>
        <w:t>Rights and Remedies.  Upon the occurrence of an Event of Default and at any time thereafter, PHB may, at its option, exercise any one or more of the following rights and remedies:</w:t>
      </w:r>
    </w:p>
    <w:p w14:paraId="09AF256A"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1F3B0629"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Termination for Cause</w:t>
      </w:r>
      <w:r w:rsidRPr="00DE315E">
        <w:rPr>
          <w:rFonts w:ascii="Arial" w:eastAsia="Times New Roman" w:hAnsi="Arial" w:cs="Arial"/>
          <w:sz w:val="20"/>
          <w:szCs w:val="20"/>
        </w:rPr>
        <w:t>.  Upon the occurrence of an Event of Default and at any time thereafter, PHB may terminate the Contract for cause.</w:t>
      </w:r>
    </w:p>
    <w:p w14:paraId="366824A4"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545287EF"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Enforcement</w:t>
      </w:r>
      <w:r w:rsidRPr="00DE315E">
        <w:rPr>
          <w:rFonts w:ascii="Arial" w:eastAsia="Times New Roman" w:hAnsi="Arial" w:cs="Arial"/>
          <w:sz w:val="20"/>
          <w:szCs w:val="20"/>
        </w:rPr>
        <w:t>.  In the event that the Contract is terminated for cause, PHB may take one or more of the following actions:</w:t>
      </w:r>
    </w:p>
    <w:p w14:paraId="7D35CC4A"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13EB2560" w14:textId="77777777" w:rsidR="00DC6F27" w:rsidRPr="00DE315E" w:rsidRDefault="00DC6F27" w:rsidP="00EA03A1">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b/>
          <w:sz w:val="20"/>
          <w:szCs w:val="20"/>
        </w:rPr>
        <w:t>Repayment</w:t>
      </w:r>
      <w:r w:rsidRPr="00DE315E">
        <w:rPr>
          <w:rFonts w:ascii="Arial" w:eastAsia="Times New Roman" w:hAnsi="Arial" w:cs="Arial"/>
          <w:sz w:val="20"/>
          <w:szCs w:val="20"/>
        </w:rPr>
        <w:t>.  PHB may declare any funds disbursed to Subrecipient, to be immediately due and payable in full.  To the extent that the Event of Default is in connection with the misuse of funds, PHB may declare any misused funds and to be immediately due and payable in full and, upon such declaration, Subrecipient shall pay to PHB the amount declared to be immediately due and payable.  In addition, Subrecipient shall be required to provide all finished or unfinished documents, data, studies, and reports prepared by Subrecipient;</w:t>
      </w:r>
    </w:p>
    <w:p w14:paraId="3F059C55"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554B3528" w14:textId="77777777" w:rsidR="00DC6F27" w:rsidRPr="00DE315E" w:rsidRDefault="00DC6F27" w:rsidP="00EA03A1">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b/>
          <w:sz w:val="20"/>
          <w:szCs w:val="20"/>
        </w:rPr>
        <w:t>Termination of Funding Obligation</w:t>
      </w:r>
      <w:r w:rsidRPr="00DE315E">
        <w:rPr>
          <w:rFonts w:ascii="Arial" w:eastAsia="Times New Roman" w:hAnsi="Arial" w:cs="Arial"/>
          <w:sz w:val="20"/>
          <w:szCs w:val="20"/>
        </w:rPr>
        <w:t>.  PHB</w:t>
      </w:r>
      <w:r w:rsidRPr="00DE315E" w:rsidDel="00F61CB4">
        <w:rPr>
          <w:rFonts w:ascii="Arial" w:eastAsia="Times New Roman" w:hAnsi="Arial" w:cs="Arial"/>
          <w:sz w:val="20"/>
          <w:szCs w:val="20"/>
        </w:rPr>
        <w:t xml:space="preserve"> </w:t>
      </w:r>
      <w:r w:rsidRPr="00DE315E">
        <w:rPr>
          <w:rFonts w:ascii="Arial" w:eastAsia="Times New Roman" w:hAnsi="Arial" w:cs="Arial"/>
          <w:sz w:val="20"/>
          <w:szCs w:val="20"/>
        </w:rPr>
        <w:t>may terminate PHB’s obligation to disburse additional funds to Subrecipient; and</w:t>
      </w:r>
    </w:p>
    <w:p w14:paraId="414315EC"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45ACE922" w14:textId="77777777" w:rsidR="00DC6F27" w:rsidRPr="00DE315E" w:rsidRDefault="00DC6F27" w:rsidP="00EA03A1">
      <w:pPr>
        <w:widowControl w:val="0"/>
        <w:numPr>
          <w:ilvl w:val="3"/>
          <w:numId w:val="1"/>
        </w:numPr>
        <w:tabs>
          <w:tab w:val="clear" w:pos="1584"/>
          <w:tab w:val="num" w:pos="1440"/>
        </w:tabs>
        <w:spacing w:after="0"/>
        <w:ind w:left="1440" w:hanging="360"/>
        <w:contextualSpacing/>
        <w:jc w:val="left"/>
        <w:rPr>
          <w:rFonts w:ascii="Arial" w:eastAsia="Times New Roman" w:hAnsi="Arial" w:cs="Arial"/>
          <w:sz w:val="20"/>
          <w:szCs w:val="20"/>
        </w:rPr>
      </w:pPr>
      <w:r w:rsidRPr="00DE315E">
        <w:rPr>
          <w:rFonts w:ascii="Arial" w:eastAsia="Times New Roman" w:hAnsi="Arial" w:cs="Arial"/>
          <w:b/>
          <w:sz w:val="20"/>
          <w:szCs w:val="20"/>
        </w:rPr>
        <w:t>Other Legal Remedies</w:t>
      </w:r>
      <w:r w:rsidRPr="00DE315E">
        <w:rPr>
          <w:rFonts w:ascii="Arial" w:eastAsia="Times New Roman" w:hAnsi="Arial" w:cs="Arial"/>
          <w:sz w:val="20"/>
          <w:szCs w:val="20"/>
        </w:rPr>
        <w:t>.  PHB shall have any other right or remedy available at law, in equity, or otherwise in such order and manner as it may select.</w:t>
      </w:r>
    </w:p>
    <w:p w14:paraId="1578947F"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4DE58921"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Completion of the Work</w:t>
      </w:r>
      <w:r w:rsidRPr="00DE315E">
        <w:rPr>
          <w:rFonts w:ascii="Arial" w:eastAsia="Times New Roman" w:hAnsi="Arial" w:cs="Arial"/>
          <w:sz w:val="20"/>
          <w:szCs w:val="20"/>
        </w:rPr>
        <w:t>.  In addition, if the Contract is terminated for cause, PHB may complete the work either itself or by agreement with another subrecipient, or by a combination thereof.  In the event the cost of completing the work exceeds the amount actually paid to Subrecipient hereunder plus the remaining unpaid balance of the compensation provided herein, then Subrecipient shall pay to PHB the amount of excess.  Allowable costs shall be determined in accordance with 24 CFR 85.43(c).</w:t>
      </w:r>
    </w:p>
    <w:p w14:paraId="79CA8B48"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6A4E3041" w14:textId="77777777" w:rsidR="00DC6F27" w:rsidRPr="00DE315E" w:rsidRDefault="00DC6F27" w:rsidP="007E23CE">
      <w:pPr>
        <w:widowControl w:val="0"/>
        <w:numPr>
          <w:ilvl w:val="2"/>
          <w:numId w:val="1"/>
        </w:numPr>
        <w:tabs>
          <w:tab w:val="clear" w:pos="1296"/>
          <w:tab w:val="num" w:pos="1080"/>
        </w:tabs>
        <w:spacing w:after="0"/>
        <w:ind w:left="1080" w:hanging="360"/>
        <w:contextualSpacing/>
        <w:jc w:val="left"/>
        <w:rPr>
          <w:rFonts w:ascii="Arial" w:eastAsia="Times New Roman" w:hAnsi="Arial" w:cs="Arial"/>
          <w:sz w:val="20"/>
          <w:szCs w:val="20"/>
        </w:rPr>
      </w:pPr>
      <w:r w:rsidRPr="00DE315E">
        <w:rPr>
          <w:rFonts w:ascii="Arial" w:eastAsia="Times New Roman" w:hAnsi="Arial" w:cs="Arial"/>
          <w:b/>
          <w:sz w:val="20"/>
          <w:szCs w:val="20"/>
        </w:rPr>
        <w:t>Termination for Convenience</w:t>
      </w:r>
      <w:r w:rsidRPr="00DE315E">
        <w:rPr>
          <w:rFonts w:ascii="Arial" w:eastAsia="Times New Roman" w:hAnsi="Arial" w:cs="Arial"/>
          <w:sz w:val="20"/>
          <w:szCs w:val="20"/>
        </w:rPr>
        <w:t xml:space="preserve">.  PHB may, in accordance with 24 CFR 85.44, terminate the Contract for convenience. </w:t>
      </w:r>
    </w:p>
    <w:p w14:paraId="549E2B6B"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52F480BC" w14:textId="77777777" w:rsidR="00DC6F27" w:rsidRPr="00DE315E" w:rsidRDefault="00DC6F27" w:rsidP="00DE315E">
      <w:pPr>
        <w:spacing w:after="0"/>
        <w:contextualSpacing/>
        <w:jc w:val="left"/>
        <w:rPr>
          <w:rFonts w:ascii="Arial" w:eastAsia="Times New Roman" w:hAnsi="Arial" w:cs="Arial"/>
          <w:b/>
          <w:sz w:val="20"/>
          <w:szCs w:val="20"/>
        </w:rPr>
      </w:pPr>
      <w:r w:rsidRPr="00DE315E">
        <w:rPr>
          <w:rFonts w:ascii="Arial" w:eastAsia="Times New Roman" w:hAnsi="Arial" w:cs="Arial"/>
          <w:b/>
          <w:sz w:val="20"/>
          <w:szCs w:val="20"/>
        </w:rPr>
        <w:t>MISCELLANEOUS</w:t>
      </w:r>
    </w:p>
    <w:p w14:paraId="08FB9679"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36C86232" w14:textId="77777777" w:rsidR="00DC6F27" w:rsidRPr="00DE315E" w:rsidRDefault="00DC6F27" w:rsidP="007E23CE">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t>Subcontracting</w:t>
      </w:r>
      <w:r w:rsidRPr="00DE315E">
        <w:rPr>
          <w:rFonts w:ascii="Arial" w:eastAsia="Times New Roman" w:hAnsi="Arial" w:cs="Arial"/>
          <w:sz w:val="20"/>
          <w:szCs w:val="20"/>
        </w:rPr>
        <w:t xml:space="preserve">.  If Subrecipient utilizes contractors to complete its work under the Contract, in whole or in part, Subrecipient shall require any of its contractors to agree, as to the portion contracted, to fulfill all obligations of the Contract as specified herein.  However, Subrecipient shall remain obligated for full performance hereunder, and PHB shall incur no obligation other than its obligations to Subrecipient hereunder. </w:t>
      </w:r>
    </w:p>
    <w:p w14:paraId="406BE185"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05B77E7E" w14:textId="77777777" w:rsidR="00DC6F27" w:rsidRPr="00DE315E" w:rsidRDefault="00DE315E"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t>Written Agreement.</w:t>
      </w:r>
      <w:r w:rsidRPr="00DE315E">
        <w:rPr>
          <w:rFonts w:ascii="Arial" w:eastAsia="Times New Roman" w:hAnsi="Arial" w:cs="Arial"/>
          <w:sz w:val="20"/>
          <w:szCs w:val="20"/>
        </w:rPr>
        <w:t xml:space="preserve">  </w:t>
      </w:r>
      <w:r w:rsidR="00DC6F27" w:rsidRPr="00DE315E">
        <w:rPr>
          <w:rFonts w:ascii="Arial" w:eastAsia="Times New Roman" w:hAnsi="Arial" w:cs="Arial"/>
          <w:sz w:val="20"/>
          <w:szCs w:val="20"/>
        </w:rPr>
        <w:t>If Subrecipient provides CDBG or HOME funds to for-profit owners or developers, non-profit owners or developers, subrecipients, homeowners, homebuyers, tenants receiving tenant-based rental assistance or contractors, Subrecipient must have a written agreement that meets the requirements of 24 CFR 570.503(b) or 92.504(c), respectively.</w:t>
      </w:r>
    </w:p>
    <w:p w14:paraId="6B7C4CB6"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1A97D103"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lastRenderedPageBreak/>
        <w:t>Independent Contractor Status</w:t>
      </w:r>
      <w:r w:rsidRPr="00DE315E">
        <w:rPr>
          <w:rFonts w:ascii="Arial" w:eastAsia="Times New Roman" w:hAnsi="Arial" w:cs="Arial"/>
          <w:sz w:val="20"/>
          <w:szCs w:val="20"/>
        </w:rPr>
        <w:t>.  Subrecipient, and its contractors and employees are not employees of the City and are not eligible for any benefits through the City, including without limitation, federal social security, health benefits, workers' compensation, unemployment compensation, and retirement benefits.</w:t>
      </w:r>
    </w:p>
    <w:p w14:paraId="4D3A3356"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4CD03C83"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t>Conflict of Interest</w:t>
      </w:r>
      <w:r w:rsidRPr="00DE315E">
        <w:rPr>
          <w:rFonts w:ascii="Arial" w:eastAsia="Times New Roman" w:hAnsi="Arial" w:cs="Arial"/>
          <w:sz w:val="20"/>
          <w:szCs w:val="20"/>
        </w:rPr>
        <w:t>.  No City officer or employee, during his or her tenure or for two (2) year thereafter, shall have any interest, direct or indirect, in the Contract or the proceeds thereof.  Any City officer or employee that selected Subrecipient, participated in the award of the Contract or managed the Contract shall not seek the promise of employment from Subrecipient or be employed by Subrecipient during the term of the Contract, unless a written waiver is obtained from the City.</w:t>
      </w:r>
    </w:p>
    <w:p w14:paraId="6BAE585C"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1A80BB68"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t>Amendment/Changes</w:t>
      </w:r>
      <w:r w:rsidRPr="00DE315E">
        <w:rPr>
          <w:rFonts w:ascii="Arial" w:eastAsia="Times New Roman" w:hAnsi="Arial" w:cs="Arial"/>
          <w:sz w:val="20"/>
          <w:szCs w:val="20"/>
        </w:rPr>
        <w:t>.  PHB or Subrecipient may, from time to time, request changes in writing in the scope of services or terms and conditions hereunder.  Such changes, including any increase or decrease in the amount of Subrecipient's compensation, shall be incorporated in written amendments to the Contract.  The Bureau Director is authorized to approve funding amendments up to 25% of the original budget amount of any contract covered under the ordinance.</w:t>
      </w:r>
    </w:p>
    <w:p w14:paraId="57A25388"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096B5E94"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t>Copyright</w:t>
      </w:r>
      <w:r w:rsidRPr="00DE315E">
        <w:rPr>
          <w:rFonts w:ascii="Arial" w:eastAsia="Times New Roman" w:hAnsi="Arial" w:cs="Arial"/>
          <w:sz w:val="20"/>
          <w:szCs w:val="20"/>
        </w:rPr>
        <w:t>.  If the Contract results in any copyrightable material or inventions, PHB reserves the right to a royalty-free, non-exclusive and irrevocable license to reproduce, publish or otherwise use, and to authorize others to use, the work or materials for governmental purposes.</w:t>
      </w:r>
    </w:p>
    <w:p w14:paraId="771802E4"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6F33EEB2"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t>Modification; Prior Agreements; Headings</w:t>
      </w:r>
      <w:r w:rsidRPr="00DE315E">
        <w:rPr>
          <w:rFonts w:ascii="Arial" w:eastAsia="Times New Roman" w:hAnsi="Arial" w:cs="Arial"/>
          <w:sz w:val="20"/>
          <w:szCs w:val="20"/>
        </w:rPr>
        <w:t>.  The Contract</w:t>
      </w:r>
      <w:r w:rsidRPr="00DE315E" w:rsidDel="00392B3D">
        <w:rPr>
          <w:rFonts w:ascii="Arial" w:eastAsia="Times New Roman" w:hAnsi="Arial" w:cs="Arial"/>
          <w:sz w:val="20"/>
          <w:szCs w:val="20"/>
        </w:rPr>
        <w:t xml:space="preserve"> </w:t>
      </w:r>
      <w:r w:rsidRPr="00DE315E">
        <w:rPr>
          <w:rFonts w:ascii="Arial" w:eastAsia="Times New Roman" w:hAnsi="Arial" w:cs="Arial"/>
          <w:sz w:val="20"/>
          <w:szCs w:val="20"/>
        </w:rPr>
        <w:t>may not be modified or amended except by an instrument in writing signed by the parties.  The Contract</w:t>
      </w:r>
      <w:r w:rsidRPr="00DE315E" w:rsidDel="00392B3D">
        <w:rPr>
          <w:rFonts w:ascii="Arial" w:eastAsia="Times New Roman" w:hAnsi="Arial" w:cs="Arial"/>
          <w:sz w:val="20"/>
          <w:szCs w:val="20"/>
        </w:rPr>
        <w:t xml:space="preserve"> </w:t>
      </w:r>
      <w:r w:rsidRPr="00DE315E">
        <w:rPr>
          <w:rFonts w:ascii="Arial" w:eastAsia="Times New Roman" w:hAnsi="Arial" w:cs="Arial"/>
          <w:sz w:val="20"/>
          <w:szCs w:val="20"/>
        </w:rPr>
        <w:t xml:space="preserve">reflects and sets forth the entire agreement and understanding of the parties with respect to the subject matter hereof, and supersedes all prior agreements and understandings relating to such subject matter.  The headings in the Contract are for the purpose of reference only and shall not limit or otherwise affect any of the terms hereof.  </w:t>
      </w:r>
    </w:p>
    <w:p w14:paraId="365904E5"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101DA421"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t>Successors and Assigns</w:t>
      </w:r>
      <w:r w:rsidRPr="00DE315E">
        <w:rPr>
          <w:rFonts w:ascii="Arial" w:eastAsia="Times New Roman" w:hAnsi="Arial" w:cs="Arial"/>
          <w:sz w:val="20"/>
          <w:szCs w:val="20"/>
        </w:rPr>
        <w:t xml:space="preserve">.  Subrecipient may not assign the Contract, in whole or in part, without the prior written consent of PHB.  The Contract shall be binding upon and shall inure to the benefit of the parties and their respective permitted successors and assigns.  </w:t>
      </w:r>
    </w:p>
    <w:p w14:paraId="5C2E3EC8"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752B72B8"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t>Governing Law, Jurisdiction, Venue</w:t>
      </w:r>
      <w:r w:rsidRPr="00DE315E">
        <w:rPr>
          <w:rFonts w:ascii="Arial" w:eastAsia="Times New Roman" w:hAnsi="Arial" w:cs="Arial"/>
          <w:sz w:val="20"/>
          <w:szCs w:val="20"/>
        </w:rPr>
        <w:t xml:space="preserve">.  The Contract shall be governed by and construed in accordance with the laws of the State of Oregon, without regard to its conflicts of law principles.  Any legal action regarding the Contract must be brought and conducted in the federal or state court, as appropriate, serving Multnomah County, Oregon, and the parties hereby consent to the jurisdiction and venue of such courts.  </w:t>
      </w:r>
    </w:p>
    <w:p w14:paraId="1EDCE48C"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1B389153" w14:textId="77777777" w:rsidR="00DC6F27" w:rsidRPr="00DE315E" w:rsidRDefault="00DC6F27" w:rsidP="00DC6F27">
      <w:pPr>
        <w:widowControl w:val="0"/>
        <w:numPr>
          <w:ilvl w:val="1"/>
          <w:numId w:val="1"/>
        </w:numPr>
        <w:spacing w:after="0"/>
        <w:contextualSpacing/>
        <w:jc w:val="left"/>
        <w:rPr>
          <w:rFonts w:ascii="Arial" w:eastAsia="Times New Roman" w:hAnsi="Arial" w:cs="Arial"/>
          <w:sz w:val="20"/>
          <w:szCs w:val="20"/>
        </w:rPr>
      </w:pPr>
      <w:r w:rsidRPr="00DE315E">
        <w:rPr>
          <w:rFonts w:ascii="Arial" w:eastAsia="Times New Roman" w:hAnsi="Arial" w:cs="Arial"/>
          <w:b/>
          <w:sz w:val="20"/>
          <w:szCs w:val="20"/>
        </w:rPr>
        <w:t>Validity; Severability</w:t>
      </w:r>
      <w:r w:rsidRPr="00DE315E">
        <w:rPr>
          <w:rFonts w:ascii="Arial" w:eastAsia="Times New Roman" w:hAnsi="Arial" w:cs="Arial"/>
          <w:sz w:val="20"/>
          <w:szCs w:val="20"/>
        </w:rPr>
        <w:t>.  If any provision of the Contract is held to be invalid, such event shall not affect, in any respect whatsoever, the validity of the remainder of the Contract, and the remainder shall be construed without the invalid provision so as to carry out the intent of the parties to the extent possible without the invalid provision.</w:t>
      </w:r>
    </w:p>
    <w:p w14:paraId="642BD50C" w14:textId="77777777" w:rsidR="00DC6F27" w:rsidRPr="00DE315E" w:rsidRDefault="00DC6F27" w:rsidP="00DC6F27">
      <w:pPr>
        <w:widowControl w:val="0"/>
        <w:spacing w:after="0"/>
        <w:jc w:val="left"/>
        <w:rPr>
          <w:rFonts w:ascii="Arial" w:eastAsia="Times New Roman" w:hAnsi="Arial" w:cs="Arial"/>
          <w:snapToGrid w:val="0"/>
          <w:sz w:val="20"/>
          <w:szCs w:val="20"/>
        </w:rPr>
      </w:pPr>
    </w:p>
    <w:p w14:paraId="00991A89" w14:textId="77777777" w:rsidR="00DC6F27" w:rsidRPr="00DE315E" w:rsidRDefault="00DC6F27" w:rsidP="00DC6F27">
      <w:pPr>
        <w:autoSpaceDE w:val="0"/>
        <w:autoSpaceDN w:val="0"/>
        <w:adjustRightInd w:val="0"/>
        <w:spacing w:after="0"/>
        <w:rPr>
          <w:rFonts w:ascii="Arial" w:eastAsia="Times New Roman" w:hAnsi="Arial" w:cs="Arial"/>
          <w:b/>
          <w:caps/>
          <w:color w:val="000000"/>
          <w:sz w:val="20"/>
          <w:szCs w:val="20"/>
        </w:rPr>
      </w:pPr>
    </w:p>
    <w:p w14:paraId="0C9B9FD6" w14:textId="25246CB0" w:rsidR="00DC6F27" w:rsidRPr="00DE315E" w:rsidRDefault="00DC6F27" w:rsidP="00DE315E">
      <w:pPr>
        <w:autoSpaceDE w:val="0"/>
        <w:autoSpaceDN w:val="0"/>
        <w:adjustRightInd w:val="0"/>
        <w:spacing w:after="0"/>
        <w:jc w:val="both"/>
        <w:rPr>
          <w:rFonts w:ascii="Arial" w:eastAsia="Times New Roman" w:hAnsi="Arial" w:cs="Arial"/>
          <w:b/>
          <w:caps/>
          <w:color w:val="000000"/>
          <w:sz w:val="20"/>
          <w:szCs w:val="20"/>
        </w:rPr>
      </w:pPr>
      <w:r w:rsidRPr="00DE315E">
        <w:rPr>
          <w:rFonts w:ascii="Arial" w:eastAsia="Times New Roman" w:hAnsi="Arial" w:cs="Arial"/>
          <w:b/>
          <w:caps/>
          <w:color w:val="000000"/>
          <w:sz w:val="20"/>
          <w:szCs w:val="20"/>
        </w:rPr>
        <w:t>home investment partnership terms and conditionS</w:t>
      </w:r>
      <w:r w:rsidR="00DE315E" w:rsidRPr="00DE315E">
        <w:rPr>
          <w:rFonts w:ascii="Arial" w:eastAsia="Times New Roman" w:hAnsi="Arial" w:cs="Arial"/>
          <w:b/>
          <w:caps/>
          <w:color w:val="000000"/>
          <w:sz w:val="20"/>
          <w:szCs w:val="20"/>
        </w:rPr>
        <w:t xml:space="preserve"> </w:t>
      </w:r>
      <w:r w:rsidRPr="00DE315E">
        <w:rPr>
          <w:rFonts w:ascii="Arial" w:eastAsia="Times New Roman" w:hAnsi="Arial" w:cs="Arial"/>
          <w:b/>
          <w:color w:val="000000"/>
          <w:sz w:val="20"/>
          <w:szCs w:val="20"/>
        </w:rPr>
        <w:t>CFDA# 14.239</w:t>
      </w:r>
    </w:p>
    <w:p w14:paraId="494F92B5" w14:textId="77777777" w:rsidR="00DC6F27" w:rsidRPr="00DE315E" w:rsidRDefault="00DC6F27" w:rsidP="00DC6F27">
      <w:pPr>
        <w:widowControl w:val="0"/>
        <w:spacing w:after="0"/>
        <w:jc w:val="left"/>
        <w:rPr>
          <w:rFonts w:ascii="Arial" w:eastAsia="Times New Roman" w:hAnsi="Arial" w:cs="Arial"/>
          <w:sz w:val="20"/>
          <w:szCs w:val="20"/>
        </w:rPr>
      </w:pPr>
    </w:p>
    <w:p w14:paraId="0CBC176A" w14:textId="77777777" w:rsidR="00DC6F27" w:rsidRPr="00DE315E" w:rsidRDefault="00DC6F27" w:rsidP="00DC6F27">
      <w:pPr>
        <w:widowControl w:val="0"/>
        <w:spacing w:after="0"/>
        <w:jc w:val="left"/>
        <w:rPr>
          <w:rFonts w:ascii="Arial" w:eastAsia="Times New Roman" w:hAnsi="Arial" w:cs="Arial"/>
          <w:i/>
          <w:sz w:val="20"/>
          <w:szCs w:val="20"/>
        </w:rPr>
      </w:pPr>
      <w:r w:rsidRPr="00DE315E">
        <w:rPr>
          <w:rFonts w:ascii="Arial" w:eastAsia="Times New Roman" w:hAnsi="Arial" w:cs="Arial"/>
          <w:i/>
          <w:sz w:val="20"/>
          <w:szCs w:val="20"/>
        </w:rPr>
        <w:t>This document must have the City’s provision attached in order to be a complete document.</w:t>
      </w:r>
    </w:p>
    <w:p w14:paraId="26DAFDA6" w14:textId="77777777" w:rsidR="00DC6F27" w:rsidRPr="00DE315E" w:rsidRDefault="00DC6F27" w:rsidP="00DC6F27">
      <w:pPr>
        <w:autoSpaceDE w:val="0"/>
        <w:autoSpaceDN w:val="0"/>
        <w:adjustRightInd w:val="0"/>
        <w:spacing w:after="0"/>
        <w:jc w:val="left"/>
        <w:rPr>
          <w:rFonts w:ascii="Arial" w:eastAsia="Times New Roman" w:hAnsi="Arial" w:cs="Arial"/>
          <w:i/>
          <w:color w:val="000000"/>
          <w:sz w:val="20"/>
          <w:szCs w:val="20"/>
        </w:rPr>
      </w:pPr>
    </w:p>
    <w:p w14:paraId="3A418F5D" w14:textId="77777777" w:rsidR="00DC6F27" w:rsidRPr="00DE315E" w:rsidRDefault="00DC6F27" w:rsidP="00DC6F27">
      <w:pPr>
        <w:autoSpaceDE w:val="0"/>
        <w:autoSpaceDN w:val="0"/>
        <w:adjustRightInd w:val="0"/>
        <w:spacing w:after="0"/>
        <w:jc w:val="left"/>
        <w:rPr>
          <w:rFonts w:ascii="Arial" w:eastAsia="Times New Roman" w:hAnsi="Arial" w:cs="Arial"/>
          <w:color w:val="000000"/>
          <w:sz w:val="20"/>
          <w:szCs w:val="20"/>
        </w:rPr>
      </w:pPr>
      <w:r w:rsidRPr="00DE315E">
        <w:rPr>
          <w:rFonts w:ascii="Arial" w:eastAsia="Times New Roman" w:hAnsi="Arial" w:cs="Arial"/>
          <w:b/>
          <w:caps/>
          <w:color w:val="000000"/>
          <w:sz w:val="20"/>
          <w:szCs w:val="20"/>
        </w:rPr>
        <w:t xml:space="preserve">General Compliance. </w:t>
      </w:r>
      <w:r w:rsidRPr="00733405">
        <w:rPr>
          <w:rFonts w:ascii="Arial" w:eastAsia="Times New Roman" w:hAnsi="Arial" w:cs="Arial"/>
          <w:caps/>
          <w:color w:val="000000"/>
          <w:sz w:val="20"/>
          <w:szCs w:val="20"/>
        </w:rPr>
        <w:t xml:space="preserve"> T</w:t>
      </w:r>
      <w:r w:rsidRPr="00733405">
        <w:rPr>
          <w:rFonts w:ascii="Arial" w:eastAsia="Times New Roman" w:hAnsi="Arial" w:cs="Arial"/>
          <w:color w:val="000000"/>
          <w:sz w:val="20"/>
          <w:szCs w:val="20"/>
        </w:rPr>
        <w:t>he</w:t>
      </w:r>
      <w:r w:rsidRPr="00DE315E">
        <w:rPr>
          <w:rFonts w:ascii="Arial" w:eastAsia="Times New Roman" w:hAnsi="Arial" w:cs="Arial"/>
          <w:color w:val="000000"/>
          <w:sz w:val="20"/>
          <w:szCs w:val="20"/>
        </w:rPr>
        <w:t xml:space="preserve"> Subrecipient agrees to comply with the requirements of Title 24 of the Code of Federal Regulations, Part 92 (the U.S. Housing and Urban Development regulations concerning HOME Investment Partnership (HOME) Program revised 2013) including all cross-cutting Federal regulations found in Subpart H of the HOME Rule including environmental review except that (1) the Subrecipient does not assume the recipient’s environmental responsibility of review described in 24 CFR 92.352(b). The Subrecipient also agrees to comply with all other applicable Federal, state and local laws, </w:t>
      </w:r>
      <w:r w:rsidRPr="00DE315E">
        <w:rPr>
          <w:rFonts w:ascii="Arial" w:eastAsia="Times New Roman" w:hAnsi="Arial" w:cs="Arial"/>
          <w:color w:val="000000"/>
          <w:sz w:val="20"/>
          <w:szCs w:val="20"/>
        </w:rPr>
        <w:lastRenderedPageBreak/>
        <w:t>regulations, and policies governing the funds provided under this contract. Subrecipient also must comply with all the general cost principles and administrative program regulations in 2 CFR 200 parts D and E, as well as the award and sub-award contracting regulations in part C and, starting in the 2016 fiscal year, the audit requirements of part F.</w:t>
      </w:r>
    </w:p>
    <w:p w14:paraId="0025B642" w14:textId="77777777" w:rsidR="00DC6F27" w:rsidRPr="00DE315E" w:rsidRDefault="00DC6F27" w:rsidP="00DC6F27">
      <w:pPr>
        <w:widowControl w:val="0"/>
        <w:spacing w:after="0"/>
        <w:jc w:val="left"/>
        <w:rPr>
          <w:rFonts w:ascii="Arial" w:eastAsia="Times New Roman" w:hAnsi="Arial" w:cs="Arial"/>
          <w:sz w:val="20"/>
          <w:szCs w:val="20"/>
        </w:rPr>
      </w:pPr>
    </w:p>
    <w:p w14:paraId="41CDC2CA" w14:textId="77777777" w:rsidR="00DC6F27" w:rsidRPr="00DE315E" w:rsidRDefault="00DC6F27" w:rsidP="00DC6F27">
      <w:pPr>
        <w:widowControl w:val="0"/>
        <w:spacing w:after="0"/>
        <w:jc w:val="left"/>
        <w:rPr>
          <w:rFonts w:ascii="Arial" w:eastAsia="Times New Roman" w:hAnsi="Arial" w:cs="Arial"/>
          <w:b/>
          <w:caps/>
          <w:color w:val="111111"/>
          <w:sz w:val="20"/>
          <w:szCs w:val="20"/>
          <w:lang w:val="en"/>
        </w:rPr>
      </w:pPr>
      <w:r w:rsidRPr="00DE315E">
        <w:rPr>
          <w:rFonts w:ascii="Arial" w:eastAsia="Times New Roman" w:hAnsi="Arial" w:cs="Arial"/>
          <w:b/>
          <w:caps/>
          <w:color w:val="111111"/>
          <w:sz w:val="20"/>
          <w:szCs w:val="20"/>
          <w:lang w:val="en"/>
        </w:rPr>
        <w:t>Violence Against Women Reauthorization Act of 2013.</w:t>
      </w:r>
    </w:p>
    <w:p w14:paraId="0DB69DCC" w14:textId="77777777" w:rsidR="00DC6F27" w:rsidRPr="00DE315E" w:rsidRDefault="00DC6F27" w:rsidP="00DC6F27">
      <w:pPr>
        <w:widowControl w:val="0"/>
        <w:spacing w:after="0"/>
        <w:jc w:val="left"/>
        <w:rPr>
          <w:rFonts w:ascii="Arial" w:eastAsia="Times New Roman" w:hAnsi="Arial" w:cs="Arial"/>
          <w:color w:val="111111"/>
          <w:sz w:val="20"/>
          <w:szCs w:val="20"/>
          <w:lang w:val="en"/>
        </w:rPr>
      </w:pPr>
      <w:r w:rsidRPr="00DE315E">
        <w:rPr>
          <w:rFonts w:ascii="Arial" w:eastAsia="Times New Roman" w:hAnsi="Arial" w:cs="Arial"/>
          <w:caps/>
          <w:sz w:val="20"/>
          <w:szCs w:val="20"/>
          <w:lang w:val="en"/>
        </w:rPr>
        <w:t>t</w:t>
      </w:r>
      <w:r w:rsidRPr="00DE315E">
        <w:rPr>
          <w:rFonts w:ascii="Arial" w:eastAsia="Times New Roman" w:hAnsi="Arial" w:cs="Arial"/>
          <w:sz w:val="20"/>
          <w:szCs w:val="20"/>
          <w:lang w:val="en"/>
        </w:rPr>
        <w:t>he Violence Against Women Reauthorization Act of 2013, public law 113-4, (</w:t>
      </w:r>
      <w:hyperlink r:id="rId8" w:history="1">
        <w:r w:rsidRPr="00DE315E">
          <w:rPr>
            <w:rFonts w:ascii="Arial" w:eastAsia="Times New Roman" w:hAnsi="Arial" w:cs="Arial"/>
            <w:color w:val="0000FF"/>
            <w:sz w:val="20"/>
            <w:szCs w:val="20"/>
            <w:u w:val="single"/>
            <w:lang w:val="en"/>
          </w:rPr>
          <w:t>VAWA 2013</w:t>
        </w:r>
      </w:hyperlink>
      <w:r w:rsidRPr="00DE315E">
        <w:rPr>
          <w:rFonts w:ascii="Arial" w:eastAsia="Times New Roman" w:hAnsi="Arial" w:cs="Arial"/>
          <w:sz w:val="20"/>
          <w:szCs w:val="20"/>
          <w:lang w:val="en"/>
        </w:rPr>
        <w:t xml:space="preserve">) to HUD programs. </w:t>
      </w:r>
      <w:r w:rsidRPr="00DE315E">
        <w:rPr>
          <w:rFonts w:ascii="Arial" w:eastAsia="Times New Roman" w:hAnsi="Arial" w:cs="Arial"/>
          <w:color w:val="111111"/>
          <w:sz w:val="20"/>
          <w:szCs w:val="20"/>
          <w:lang w:val="en"/>
        </w:rPr>
        <w:t>VAWA protects both child and adult victims of domestic violence, dating violence, sexual assault, and stalking. The legislation, S.47, extends the law’s protections to lesbian, gay, bisexual and transgendered men and women and to non-native perpetrators of violence on Native American reservations.</w:t>
      </w:r>
    </w:p>
    <w:p w14:paraId="31D057E1" w14:textId="77777777" w:rsidR="00DC6F27" w:rsidRPr="00DE315E" w:rsidRDefault="00DC6F27" w:rsidP="00DC6F27">
      <w:pPr>
        <w:widowControl w:val="0"/>
        <w:spacing w:after="0"/>
        <w:jc w:val="left"/>
        <w:rPr>
          <w:rFonts w:ascii="Arial" w:eastAsia="Times New Roman" w:hAnsi="Arial" w:cs="Arial"/>
          <w:sz w:val="20"/>
          <w:szCs w:val="20"/>
        </w:rPr>
      </w:pPr>
    </w:p>
    <w:p w14:paraId="20C81221"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RELOCATION, ACQUISITION AND DISPLACEMENT</w:t>
      </w:r>
      <w:r w:rsidRPr="00DE315E">
        <w:rPr>
          <w:rFonts w:ascii="Arial" w:eastAsia="Times New Roman" w:hAnsi="Arial" w:cs="Arial"/>
          <w:sz w:val="20"/>
          <w:szCs w:val="20"/>
        </w:rPr>
        <w:t>.  The Subrecipient agrees to comply with 24 CFR 92.353 relating to the acquisition and disposition of all real property utilizing grant funds, and to the displacement of persons, businesses, non-profit organizations and farms occurring as a direct result of any acquisition of real property utilizing grant funds.  The Subrecipient agrees to comply with applicable HUD ordinances, resolutions and policies concerning displacement of individuals from their residences.</w:t>
      </w:r>
    </w:p>
    <w:p w14:paraId="366C4917" w14:textId="77777777" w:rsidR="00DC6F27" w:rsidRPr="00DE315E" w:rsidRDefault="00DC6F27" w:rsidP="00DC6F27">
      <w:pPr>
        <w:widowControl w:val="0"/>
        <w:spacing w:after="0"/>
        <w:jc w:val="left"/>
        <w:rPr>
          <w:rFonts w:ascii="Arial" w:eastAsia="Times New Roman" w:hAnsi="Arial" w:cs="Arial"/>
          <w:sz w:val="20"/>
          <w:szCs w:val="20"/>
        </w:rPr>
      </w:pPr>
    </w:p>
    <w:p w14:paraId="733CCDAC"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TENANT BASED RENTAL ASSISTANCE HOME.</w:t>
      </w:r>
      <w:r w:rsidRPr="00DE315E">
        <w:rPr>
          <w:rFonts w:ascii="Arial" w:eastAsia="Times New Roman" w:hAnsi="Arial" w:cs="Arial"/>
          <w:sz w:val="20"/>
          <w:szCs w:val="20"/>
        </w:rPr>
        <w:t xml:space="preserve"> The Subrecipient agrees to carry out the requirements of the HOME TRBA program when funding such activities. Executed, written agreements must be entered into that contain the requirements of the HOME TBRA program. Those specific requirements which are not listed in the provisions of this IGA can be found at 24 CFR Section 92.209.  </w:t>
      </w:r>
    </w:p>
    <w:p w14:paraId="7EAB22E9" w14:textId="77777777" w:rsidR="00DC6F27" w:rsidRPr="00DE315E" w:rsidRDefault="00DC6F27" w:rsidP="00DC6F27">
      <w:pPr>
        <w:widowControl w:val="0"/>
        <w:spacing w:after="0"/>
        <w:jc w:val="left"/>
        <w:rPr>
          <w:rFonts w:ascii="Arial" w:eastAsia="Times New Roman" w:hAnsi="Arial" w:cs="Arial"/>
          <w:sz w:val="20"/>
          <w:szCs w:val="20"/>
        </w:rPr>
      </w:pPr>
    </w:p>
    <w:p w14:paraId="06674659"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LEAD-BASED PAINT</w:t>
      </w:r>
      <w:r w:rsidRPr="00DE315E">
        <w:rPr>
          <w:rFonts w:ascii="Arial" w:eastAsia="Times New Roman" w:hAnsi="Arial" w:cs="Arial"/>
          <w:sz w:val="20"/>
          <w:szCs w:val="20"/>
        </w:rPr>
        <w:t>.  The Subrecipient agrees that any construction or rehabilitation of residential structure with assistance provided under this contract shall be subject to HUD lead-Based Paint Regulations at 24 CFR 92.355, the Residential Lead-Based Paint Hazard Reduction Act of 1992 (42 USC 451-4856,  and 24 CFR Part 35, and in particular Sub-Parts A, B, J, K, M and R thereof.  Such regulations pertain to all HUD-assisted housing and require that all owners, prospective owners, and tenants or properties constructed prior to 1978 be properly notified that such properties may include lead-based paint.  Such notification shall point out the hazards of lead-based paint and explain symptoms, treatment and precautions that should be taken when dealing with lead-based paint poisoning</w:t>
      </w:r>
    </w:p>
    <w:p w14:paraId="430287FE" w14:textId="77777777" w:rsidR="00DC6F27" w:rsidRPr="00DE315E" w:rsidRDefault="00DC6F27" w:rsidP="00DC6F27">
      <w:pPr>
        <w:widowControl w:val="0"/>
        <w:spacing w:after="0"/>
        <w:jc w:val="left"/>
        <w:rPr>
          <w:rFonts w:ascii="Arial" w:eastAsia="Times New Roman" w:hAnsi="Arial" w:cs="Arial"/>
          <w:sz w:val="20"/>
          <w:szCs w:val="20"/>
        </w:rPr>
      </w:pPr>
    </w:p>
    <w:p w14:paraId="5327F5F0" w14:textId="77777777" w:rsidR="00DC6F27" w:rsidRPr="00DE315E" w:rsidRDefault="00DC6F27" w:rsidP="00DC6F27">
      <w:pPr>
        <w:widowControl w:val="0"/>
        <w:tabs>
          <w:tab w:val="left" w:pos="-1440"/>
        </w:tabs>
        <w:spacing w:after="0"/>
        <w:jc w:val="left"/>
        <w:rPr>
          <w:rFonts w:ascii="Arial" w:eastAsia="Times New Roman" w:hAnsi="Arial" w:cs="Arial"/>
          <w:sz w:val="20"/>
          <w:szCs w:val="20"/>
        </w:rPr>
      </w:pPr>
      <w:r w:rsidRPr="00DE315E">
        <w:rPr>
          <w:rFonts w:ascii="Arial" w:eastAsia="Times New Roman" w:hAnsi="Arial" w:cs="Arial"/>
          <w:b/>
          <w:sz w:val="20"/>
          <w:szCs w:val="20"/>
        </w:rPr>
        <w:t>LABOR STANDARDS.</w:t>
      </w:r>
      <w:r w:rsidRPr="00DE315E">
        <w:rPr>
          <w:rFonts w:ascii="Arial" w:eastAsia="Times New Roman" w:hAnsi="Arial" w:cs="Arial"/>
          <w:sz w:val="20"/>
          <w:szCs w:val="20"/>
        </w:rPr>
        <w:t xml:space="preserve">  The Subrecipient agrees to comply with the requirements of the Secretary of Labor in accordance with the Davis-Bacon Act as amended, the provisions of Contract Work Hours, the Safety Standards Act, the Copeland "Anti-Kickback" Act (40 U.S.C 276, 327-333) and all other applicable federal, state and local laws and regulations pertaining to labor standards insofar as those acts apply to the performance of this contract.  The Subrecipient shall maintain documentation that demonstrates compliance with hour and wage requirements of this part.  Such documentation shall be made available to the City of Portland for review upon request.</w:t>
      </w:r>
    </w:p>
    <w:p w14:paraId="3F12C9C9" w14:textId="77777777" w:rsidR="00DC6F27" w:rsidRPr="00DE315E" w:rsidRDefault="00DC6F27" w:rsidP="00DC6F27">
      <w:pPr>
        <w:widowControl w:val="0"/>
        <w:tabs>
          <w:tab w:val="left" w:pos="-1440"/>
        </w:tabs>
        <w:spacing w:after="0"/>
        <w:ind w:left="1440" w:hanging="720"/>
        <w:jc w:val="left"/>
        <w:rPr>
          <w:rFonts w:ascii="Arial" w:eastAsia="Times New Roman" w:hAnsi="Arial" w:cs="Arial"/>
          <w:sz w:val="20"/>
          <w:szCs w:val="20"/>
        </w:rPr>
      </w:pPr>
    </w:p>
    <w:p w14:paraId="4ED3F671"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sz w:val="20"/>
          <w:szCs w:val="20"/>
        </w:rPr>
        <w:t>The Subrecipient agrees that, except with respect to the rehabilitation or construction of residential property designed for residential use for less than twelve (12) households, all contractors engaged under contracts in excess of $2,000.00 for construction, renovation or repair of any building or work financed in whole or in part with assistance provided under this contract, shall comply with federal requirements adopted by the City of Portland pertaining to such contracts and with the applicable requirements of the regulations of the Department of Labor, under 29 CFR, Parts 3, 15 and 7 governing the payment of wages and ratio of apprentices and trainees to journeymen; provided, that if wage rates higher than those required under the regulations are imposed by state or local law, nothing hereunder is intended to relieve the Subrecipient of its obligation, if any, to require payment of the higher wage.  The Subrecipient shall cause or require to be inserted in full, in all such contracts subject to such regulations, provisions meeting the requirements of this paragraph, for such contracts in excess of $100,000.</w:t>
      </w:r>
    </w:p>
    <w:p w14:paraId="34A21F66" w14:textId="77777777" w:rsidR="00DC6F27" w:rsidRPr="00DE315E" w:rsidRDefault="00DC6F27" w:rsidP="00DC6F27">
      <w:pPr>
        <w:widowControl w:val="0"/>
        <w:spacing w:after="0"/>
        <w:jc w:val="left"/>
        <w:rPr>
          <w:rFonts w:ascii="Arial" w:eastAsia="Times New Roman" w:hAnsi="Arial" w:cs="Arial"/>
          <w:sz w:val="20"/>
          <w:szCs w:val="20"/>
        </w:rPr>
      </w:pPr>
    </w:p>
    <w:p w14:paraId="4A9B576F"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CONSULTANT SERVICES</w:t>
      </w:r>
      <w:r w:rsidRPr="00DE315E">
        <w:rPr>
          <w:rFonts w:ascii="Arial" w:eastAsia="Times New Roman" w:hAnsi="Arial" w:cs="Arial"/>
          <w:sz w:val="20"/>
          <w:szCs w:val="20"/>
        </w:rPr>
        <w:t xml:space="preserve">. No person providing consultant services in an employer-employee type relationship shall receive more than a reasonable rate of compensation for personal services paid with HOME funds.  In no event, however, shall such compensation exceed the limits in effect under the provision of any applicable statute.  Such services shall be evidenced by written agreements between </w:t>
      </w:r>
      <w:r w:rsidRPr="00DE315E">
        <w:rPr>
          <w:rFonts w:ascii="Arial" w:eastAsia="Times New Roman" w:hAnsi="Arial" w:cs="Arial"/>
          <w:sz w:val="20"/>
          <w:szCs w:val="20"/>
        </w:rPr>
        <w:lastRenderedPageBreak/>
        <w:t>parties which detail the responsibilities, standards and compensation.  Consultant services provided under an independent contractor relationship are not subject to the compensation limitation of Level IV of the Executive Schedule (24 CFR 92.358).</w:t>
      </w:r>
    </w:p>
    <w:p w14:paraId="44760CD3" w14:textId="77777777" w:rsidR="00DC6F27" w:rsidRPr="00DE315E" w:rsidRDefault="00DC6F27" w:rsidP="00DC6F27">
      <w:pPr>
        <w:widowControl w:val="0"/>
        <w:spacing w:after="0"/>
        <w:jc w:val="left"/>
        <w:rPr>
          <w:rFonts w:ascii="Arial" w:eastAsia="Times New Roman" w:hAnsi="Arial" w:cs="Arial"/>
          <w:sz w:val="20"/>
          <w:szCs w:val="20"/>
        </w:rPr>
      </w:pPr>
    </w:p>
    <w:p w14:paraId="7FD6C9C6"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DISBURSEMENT OF FUNDS.</w:t>
      </w:r>
      <w:r w:rsidRPr="00DE315E">
        <w:rPr>
          <w:rFonts w:ascii="Arial" w:eastAsia="Times New Roman" w:hAnsi="Arial" w:cs="Arial"/>
          <w:sz w:val="20"/>
          <w:szCs w:val="20"/>
        </w:rPr>
        <w:t xml:space="preserve"> The Subrecipient may not request disbursement of HOME funds under this contract until the funds are needed for payment of eligible costs.  The amount of each request must be limited to the amount needed.  Program income must be disbursed before Subrecipient requests funds from the CITY.</w:t>
      </w:r>
    </w:p>
    <w:p w14:paraId="6E07A9F0" w14:textId="77777777" w:rsidR="00DC6F27" w:rsidRPr="00DE315E" w:rsidRDefault="00DC6F27" w:rsidP="00DC6F27">
      <w:pPr>
        <w:widowControl w:val="0"/>
        <w:spacing w:after="0"/>
        <w:jc w:val="left"/>
        <w:rPr>
          <w:rFonts w:ascii="Arial" w:eastAsia="Times New Roman" w:hAnsi="Arial" w:cs="Arial"/>
          <w:b/>
          <w:sz w:val="20"/>
          <w:szCs w:val="20"/>
        </w:rPr>
      </w:pPr>
    </w:p>
    <w:p w14:paraId="370F4384"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ENVIRONMENTAL REVIEW</w:t>
      </w:r>
      <w:r w:rsidRPr="00DE315E">
        <w:rPr>
          <w:rFonts w:ascii="Arial" w:eastAsia="Times New Roman" w:hAnsi="Arial" w:cs="Arial"/>
          <w:sz w:val="20"/>
          <w:szCs w:val="20"/>
        </w:rPr>
        <w:t>.  Subrecipient must comply with the requirements of the National Environmental Policy Act of 1959 [24 CFR Part 58].  No funds may be committed and no work may be carried out on any project until the environmental review is complete and a Release of Funds is issued by HUD, if applicable</w:t>
      </w:r>
    </w:p>
    <w:p w14:paraId="5F9DE502" w14:textId="77777777" w:rsidR="00DC6F27" w:rsidRPr="00DE315E" w:rsidRDefault="00DC6F27" w:rsidP="00DC6F27">
      <w:pPr>
        <w:widowControl w:val="0"/>
        <w:spacing w:after="0"/>
        <w:jc w:val="left"/>
        <w:rPr>
          <w:rFonts w:ascii="Arial" w:eastAsia="Times New Roman" w:hAnsi="Arial" w:cs="Arial"/>
          <w:sz w:val="20"/>
          <w:szCs w:val="20"/>
        </w:rPr>
      </w:pPr>
    </w:p>
    <w:p w14:paraId="4767778F"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DEBARRED, SUSPENDED OR INELIGIBLE CONTRACTORS</w:t>
      </w:r>
      <w:r w:rsidRPr="00DE315E">
        <w:rPr>
          <w:rFonts w:ascii="Arial" w:eastAsia="Times New Roman" w:hAnsi="Arial" w:cs="Arial"/>
          <w:sz w:val="20"/>
          <w:szCs w:val="20"/>
        </w:rPr>
        <w:t>.  Federal funds may not be used to directly or indirectly employ, award contracts to or otherwise engage the services of any contractor or subrecipient during any period of debarment, suspension or placement of ineligibility status [24 CFR Part 24].  Contractors and subrecipients are responsible for checking the Federal publications that list debarred, suspended and ineligible contractors to assure compliance.</w:t>
      </w:r>
    </w:p>
    <w:p w14:paraId="67629020" w14:textId="77777777" w:rsidR="00DC6F27" w:rsidRPr="00DE315E" w:rsidRDefault="00DC6F27" w:rsidP="00DC6F27">
      <w:pPr>
        <w:widowControl w:val="0"/>
        <w:spacing w:after="0"/>
        <w:jc w:val="left"/>
        <w:rPr>
          <w:rFonts w:ascii="Arial" w:eastAsia="Times New Roman" w:hAnsi="Arial" w:cs="Arial"/>
          <w:sz w:val="20"/>
          <w:szCs w:val="20"/>
        </w:rPr>
      </w:pPr>
    </w:p>
    <w:p w14:paraId="4B3FFA09"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SMALL AND MINORITY FIRMS, WOMEN’S BUSINESS ENTERPRISES AND LABOR SURPLUS AREA FIRMS.</w:t>
      </w:r>
      <w:r w:rsidRPr="00DE315E">
        <w:rPr>
          <w:rFonts w:ascii="Arial" w:eastAsia="Times New Roman" w:hAnsi="Arial" w:cs="Arial"/>
          <w:sz w:val="20"/>
          <w:szCs w:val="20"/>
        </w:rPr>
        <w:t xml:space="preserve">  Contractors and subrecipients must comply with the requirements of Executive Orders 11625, 12432 and 12138 and 24 CFR 85.36(e), which require that contractors and subrecipients take all necessary affirmative steps to assure that minority firms, women’s business enterprises, and labor surplus area firms are used when possible.  Such affirmative steps would include: (i) placing qualified small and women’s business enterprises on solicitation lists; (ii) assuring that small and minority businesses and women’s business enterprises are solicited whenever they are potential sources; (iii) dividing total requirements, when economically feasible, into smaller tasks or quantities to permit maximum participation by small and minority businesses, and women’s business enterprises; (iv) establishing delivery schedules, where the requirement permits, which encourage participation by small and minority business, and women’s business enterprises; (v) using the services and assistance of the Small Business Administration, and the Minority Business Development Agency of the Department of Commerce; and (vi) requiring the prime contractor, if subcontracts are to be let, to take the affirmative steps listed above.</w:t>
      </w:r>
    </w:p>
    <w:p w14:paraId="70680003" w14:textId="77777777" w:rsidR="00DC6F27" w:rsidRPr="00DE315E" w:rsidRDefault="00DC6F27" w:rsidP="00DC6F27">
      <w:pPr>
        <w:widowControl w:val="0"/>
        <w:spacing w:after="0"/>
        <w:jc w:val="left"/>
        <w:rPr>
          <w:rFonts w:ascii="Arial" w:eastAsia="Times New Roman" w:hAnsi="Arial" w:cs="Arial"/>
          <w:sz w:val="20"/>
          <w:szCs w:val="20"/>
        </w:rPr>
      </w:pPr>
    </w:p>
    <w:p w14:paraId="60D55DA3"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SECTION 3:</w:t>
      </w:r>
      <w:r w:rsidRPr="00DE315E">
        <w:rPr>
          <w:rFonts w:ascii="Arial" w:eastAsia="Times New Roman" w:hAnsi="Arial" w:cs="Arial"/>
          <w:sz w:val="20"/>
          <w:szCs w:val="20"/>
        </w:rPr>
        <w:t xml:space="preserve">  The Subrecipient will comply with the training and employment guidelines of Section 3 of the Housing and Urban Development Act of 1968, as amended (12U.S.C. 1701a), and regulations pursuant thereto (24 CFR Part 135).</w:t>
      </w:r>
    </w:p>
    <w:p w14:paraId="74761B71" w14:textId="77777777" w:rsidR="00DC6F27" w:rsidRPr="00DE315E" w:rsidRDefault="00DC6F27" w:rsidP="00DC6F27">
      <w:pPr>
        <w:widowControl w:val="0"/>
        <w:spacing w:after="0"/>
        <w:jc w:val="left"/>
        <w:rPr>
          <w:rFonts w:ascii="Arial" w:eastAsia="Times New Roman" w:hAnsi="Arial" w:cs="Arial"/>
          <w:sz w:val="20"/>
          <w:szCs w:val="20"/>
        </w:rPr>
      </w:pPr>
    </w:p>
    <w:p w14:paraId="7207A719"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PERIODS OF AFFORDABILTY (Homeownership)</w:t>
      </w:r>
      <w:r w:rsidRPr="00DE315E">
        <w:rPr>
          <w:rFonts w:ascii="Arial" w:eastAsia="Times New Roman" w:hAnsi="Arial" w:cs="Arial"/>
          <w:sz w:val="20"/>
          <w:szCs w:val="20"/>
        </w:rPr>
        <w:t xml:space="preserve">.  The HOME-assisted housing (Homeownership Unit)  must meet the affordability requirements for not less than the applicable period specified in the following table, beginning after the transfer of the property to the HOME–assisted buyer. The homeowner must occupy the principal resident throughout the HOME period of affordability. </w:t>
      </w:r>
    </w:p>
    <w:p w14:paraId="2AA25D66"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sz w:val="20"/>
          <w:szCs w:val="20"/>
        </w:rPr>
        <w:t>______________________________________________________________________</w:t>
      </w:r>
    </w:p>
    <w:p w14:paraId="31E5DA83"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sz w:val="20"/>
          <w:szCs w:val="20"/>
        </w:rPr>
        <w:t>Homeownership HOME amount per-unit</w:t>
      </w:r>
      <w:r w:rsidRPr="00DE315E">
        <w:rPr>
          <w:rFonts w:ascii="Arial" w:eastAsia="Times New Roman" w:hAnsi="Arial" w:cs="Arial"/>
          <w:sz w:val="20"/>
          <w:szCs w:val="20"/>
        </w:rPr>
        <w:tab/>
      </w:r>
      <w:r w:rsidRPr="00DE315E">
        <w:rPr>
          <w:rFonts w:ascii="Arial" w:eastAsia="Times New Roman" w:hAnsi="Arial" w:cs="Arial"/>
          <w:sz w:val="20"/>
          <w:szCs w:val="20"/>
        </w:rPr>
        <w:tab/>
        <w:t>Minimum Period of</w:t>
      </w:r>
    </w:p>
    <w:p w14:paraId="59FC9FDE" w14:textId="77777777" w:rsidR="00DC6F27" w:rsidRPr="00DE315E" w:rsidRDefault="00DC6F27" w:rsidP="00DC6F27">
      <w:pPr>
        <w:widowControl w:val="0"/>
        <w:pBdr>
          <w:bottom w:val="single" w:sz="12" w:space="1" w:color="auto"/>
        </w:pBdr>
        <w:spacing w:after="0"/>
        <w:jc w:val="left"/>
        <w:rPr>
          <w:rFonts w:ascii="Arial" w:eastAsia="Times New Roman" w:hAnsi="Arial" w:cs="Arial"/>
          <w:sz w:val="20"/>
          <w:szCs w:val="20"/>
        </w:rPr>
      </w:pP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t>Affordability in years</w:t>
      </w:r>
    </w:p>
    <w:p w14:paraId="4B8DDE0A"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sz w:val="20"/>
          <w:szCs w:val="20"/>
        </w:rPr>
        <w:t>Under $15,000</w:t>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t>5</w:t>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p>
    <w:p w14:paraId="1C8C1009"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sz w:val="20"/>
          <w:szCs w:val="20"/>
        </w:rPr>
        <w:t>$15,000 to $40,000</w:t>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t>10</w:t>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p>
    <w:p w14:paraId="444FDA0C" w14:textId="77777777" w:rsidR="00DC6F27" w:rsidRPr="00DE315E" w:rsidRDefault="00DC6F27" w:rsidP="00DC6F27">
      <w:pPr>
        <w:widowControl w:val="0"/>
        <w:pBdr>
          <w:bottom w:val="single" w:sz="12" w:space="1" w:color="auto"/>
        </w:pBdr>
        <w:spacing w:after="0"/>
        <w:jc w:val="left"/>
        <w:rPr>
          <w:rFonts w:ascii="Arial" w:eastAsia="Times New Roman" w:hAnsi="Arial" w:cs="Arial"/>
          <w:sz w:val="20"/>
          <w:szCs w:val="20"/>
        </w:rPr>
      </w:pPr>
      <w:r w:rsidRPr="00DE315E">
        <w:rPr>
          <w:rFonts w:ascii="Arial" w:eastAsia="Times New Roman" w:hAnsi="Arial" w:cs="Arial"/>
          <w:sz w:val="20"/>
          <w:szCs w:val="20"/>
        </w:rPr>
        <w:t>Over $40,000</w:t>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t>15</w:t>
      </w:r>
      <w:r w:rsidRPr="00DE315E">
        <w:rPr>
          <w:rFonts w:ascii="Arial" w:eastAsia="Times New Roman" w:hAnsi="Arial" w:cs="Arial"/>
          <w:sz w:val="20"/>
          <w:szCs w:val="20"/>
        </w:rPr>
        <w:tab/>
      </w:r>
      <w:r w:rsidRPr="00DE315E">
        <w:rPr>
          <w:rFonts w:ascii="Arial" w:eastAsia="Times New Roman" w:hAnsi="Arial" w:cs="Arial"/>
          <w:sz w:val="20"/>
          <w:szCs w:val="20"/>
        </w:rPr>
        <w:tab/>
      </w:r>
      <w:r w:rsidRPr="00DE315E">
        <w:rPr>
          <w:rFonts w:ascii="Arial" w:eastAsia="Times New Roman" w:hAnsi="Arial" w:cs="Arial"/>
          <w:sz w:val="20"/>
          <w:szCs w:val="20"/>
        </w:rPr>
        <w:tab/>
      </w:r>
    </w:p>
    <w:p w14:paraId="466CE1B7" w14:textId="77777777" w:rsidR="00DC6F27" w:rsidRPr="00DE315E" w:rsidRDefault="00DC6F27" w:rsidP="00DC6F27">
      <w:pPr>
        <w:widowControl w:val="0"/>
        <w:spacing w:after="0"/>
        <w:jc w:val="left"/>
        <w:rPr>
          <w:rFonts w:ascii="Arial" w:eastAsia="Times New Roman" w:hAnsi="Arial" w:cs="Arial"/>
          <w:sz w:val="20"/>
          <w:szCs w:val="20"/>
        </w:rPr>
      </w:pPr>
    </w:p>
    <w:p w14:paraId="5A1BFDC6"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sz w:val="20"/>
          <w:szCs w:val="20"/>
        </w:rPr>
        <w:t>Occupying. Occupying means the real property receiving HOME/ADDI/CDBG is the principal residence, the place the homeowner intends to return to whenever the homeowner goes away.  It is the address that appears on the homeowner’s driver’s license or voter registration card. Homeowner may have only one principal residence at a time.</w:t>
      </w:r>
    </w:p>
    <w:p w14:paraId="7EE37C07" w14:textId="77777777" w:rsidR="00DC6F27" w:rsidRPr="00DE315E" w:rsidRDefault="00DC6F27" w:rsidP="00DC6F27">
      <w:pPr>
        <w:widowControl w:val="0"/>
        <w:spacing w:after="0"/>
        <w:jc w:val="left"/>
        <w:rPr>
          <w:rFonts w:ascii="Arial" w:eastAsia="Times New Roman" w:hAnsi="Arial" w:cs="Arial"/>
          <w:sz w:val="20"/>
          <w:szCs w:val="20"/>
        </w:rPr>
      </w:pPr>
    </w:p>
    <w:p w14:paraId="781A1658" w14:textId="77777777" w:rsidR="00DC6F27" w:rsidRPr="00DE315E" w:rsidRDefault="00DC6F27" w:rsidP="00DC6F27">
      <w:pPr>
        <w:widowControl w:val="0"/>
        <w:spacing w:after="0"/>
        <w:jc w:val="left"/>
        <w:rPr>
          <w:rFonts w:ascii="Arial" w:eastAsia="Times New Roman" w:hAnsi="Arial" w:cs="Arial"/>
          <w:i/>
          <w:sz w:val="20"/>
          <w:szCs w:val="20"/>
        </w:rPr>
      </w:pPr>
      <w:r w:rsidRPr="00DE315E">
        <w:rPr>
          <w:rFonts w:ascii="Arial" w:eastAsia="Times New Roman" w:hAnsi="Arial" w:cs="Arial"/>
          <w:sz w:val="20"/>
          <w:szCs w:val="20"/>
        </w:rPr>
        <w:lastRenderedPageBreak/>
        <w:t xml:space="preserve"> </w:t>
      </w:r>
      <w:r w:rsidRPr="00DE315E">
        <w:rPr>
          <w:rFonts w:ascii="Arial" w:eastAsia="Times New Roman" w:hAnsi="Arial" w:cs="Arial"/>
          <w:b/>
          <w:sz w:val="20"/>
          <w:szCs w:val="20"/>
        </w:rPr>
        <w:t xml:space="preserve">PERIODS OF AFFORDABILTY (Rental Housing). </w:t>
      </w:r>
      <w:r w:rsidRPr="00DE315E">
        <w:rPr>
          <w:rFonts w:ascii="Arial" w:eastAsia="Times New Roman" w:hAnsi="Arial" w:cs="Arial"/>
          <w:sz w:val="20"/>
          <w:szCs w:val="20"/>
        </w:rPr>
        <w:t xml:space="preserve">The HOME assisted units must meet the affordability requirements for not less than the applicable period specified in the table below, beginning after project completion as defined at 24 CFR 92.2 </w:t>
      </w:r>
      <w:r w:rsidRPr="00DE315E">
        <w:rPr>
          <w:rFonts w:ascii="Arial" w:eastAsia="Times New Roman" w:hAnsi="Arial" w:cs="Arial"/>
          <w:i/>
          <w:sz w:val="20"/>
          <w:szCs w:val="20"/>
        </w:rPr>
        <w:t>Project Completion</w:t>
      </w:r>
    </w:p>
    <w:p w14:paraId="1BD82D46" w14:textId="77777777" w:rsidR="00DC6F27" w:rsidRPr="00DE315E" w:rsidRDefault="00DC6F27" w:rsidP="00DC6F27">
      <w:pPr>
        <w:widowControl w:val="0"/>
        <w:spacing w:after="0"/>
        <w:jc w:val="left"/>
        <w:rPr>
          <w:rFonts w:ascii="Arial" w:eastAsia="Times New Roman" w:hAnsi="Arial" w:cs="Arial"/>
          <w:i/>
          <w:sz w:val="20"/>
          <w:szCs w:val="20"/>
        </w:rPr>
      </w:pPr>
    </w:p>
    <w:tbl>
      <w:tblPr>
        <w:tblStyle w:val="TableGrid"/>
        <w:tblW w:w="0" w:type="auto"/>
        <w:tblLook w:val="04A0" w:firstRow="1" w:lastRow="0" w:firstColumn="1" w:lastColumn="0" w:noHBand="0" w:noVBand="1"/>
      </w:tblPr>
      <w:tblGrid>
        <w:gridCol w:w="5125"/>
        <w:gridCol w:w="4225"/>
      </w:tblGrid>
      <w:tr w:rsidR="00DC6F27" w:rsidRPr="00DE315E" w14:paraId="05A7EC79" w14:textId="77777777" w:rsidTr="004F451A">
        <w:tc>
          <w:tcPr>
            <w:tcW w:w="5125" w:type="dxa"/>
          </w:tcPr>
          <w:p w14:paraId="4F4DA148" w14:textId="77777777" w:rsidR="00DC6F27" w:rsidRPr="00DE315E" w:rsidRDefault="00DC6F27" w:rsidP="004F451A">
            <w:pPr>
              <w:widowControl w:val="0"/>
              <w:rPr>
                <w:rFonts w:ascii="Arial" w:eastAsia="Times New Roman" w:hAnsi="Arial" w:cs="Arial"/>
                <w:b/>
                <w:sz w:val="20"/>
                <w:szCs w:val="20"/>
              </w:rPr>
            </w:pPr>
            <w:r w:rsidRPr="00DE315E">
              <w:rPr>
                <w:rFonts w:ascii="Arial" w:eastAsia="Times New Roman" w:hAnsi="Arial" w:cs="Arial"/>
                <w:b/>
                <w:sz w:val="20"/>
                <w:szCs w:val="20"/>
              </w:rPr>
              <w:t>RENTAL HOUSING ACTIVITY</w:t>
            </w:r>
          </w:p>
        </w:tc>
        <w:tc>
          <w:tcPr>
            <w:tcW w:w="4225" w:type="dxa"/>
          </w:tcPr>
          <w:p w14:paraId="7031329A" w14:textId="77777777" w:rsidR="00DC6F27" w:rsidRPr="00DE315E" w:rsidRDefault="00DC6F27" w:rsidP="004F451A">
            <w:pPr>
              <w:widowControl w:val="0"/>
              <w:jc w:val="left"/>
              <w:rPr>
                <w:rFonts w:ascii="Arial" w:eastAsia="Times New Roman" w:hAnsi="Arial" w:cs="Arial"/>
                <w:b/>
                <w:sz w:val="20"/>
                <w:szCs w:val="20"/>
              </w:rPr>
            </w:pPr>
            <w:r w:rsidRPr="00DE315E">
              <w:rPr>
                <w:rFonts w:ascii="Arial" w:eastAsia="Times New Roman" w:hAnsi="Arial" w:cs="Arial"/>
                <w:sz w:val="20"/>
                <w:szCs w:val="20"/>
              </w:rPr>
              <w:t xml:space="preserve">                  </w:t>
            </w:r>
            <w:r w:rsidRPr="00DE315E">
              <w:rPr>
                <w:rFonts w:ascii="Arial" w:eastAsia="Times New Roman" w:hAnsi="Arial" w:cs="Arial"/>
                <w:b/>
                <w:sz w:val="20"/>
                <w:szCs w:val="20"/>
              </w:rPr>
              <w:t xml:space="preserve">MINIMUM PERIOD OF </w:t>
            </w:r>
          </w:p>
          <w:p w14:paraId="2A6F29EB" w14:textId="77777777" w:rsidR="00DC6F27" w:rsidRPr="00DE315E" w:rsidRDefault="00DC6F27" w:rsidP="004F451A">
            <w:pPr>
              <w:widowControl w:val="0"/>
              <w:jc w:val="left"/>
              <w:rPr>
                <w:rFonts w:ascii="Arial" w:eastAsia="Times New Roman" w:hAnsi="Arial" w:cs="Arial"/>
                <w:sz w:val="20"/>
                <w:szCs w:val="20"/>
              </w:rPr>
            </w:pPr>
            <w:r w:rsidRPr="00DE315E">
              <w:rPr>
                <w:rFonts w:ascii="Arial" w:eastAsia="Times New Roman" w:hAnsi="Arial" w:cs="Arial"/>
                <w:b/>
                <w:sz w:val="20"/>
                <w:szCs w:val="20"/>
              </w:rPr>
              <w:t xml:space="preserve">             AFFORDABILTY IN YEARS</w:t>
            </w:r>
          </w:p>
        </w:tc>
      </w:tr>
      <w:tr w:rsidR="00DC6F27" w:rsidRPr="00DE315E" w14:paraId="6696ACD0" w14:textId="77777777" w:rsidTr="004F451A">
        <w:tc>
          <w:tcPr>
            <w:tcW w:w="5125" w:type="dxa"/>
          </w:tcPr>
          <w:p w14:paraId="1627981B" w14:textId="77777777" w:rsidR="00DC6F27" w:rsidRPr="00DE315E" w:rsidRDefault="00DC6F27" w:rsidP="004F451A">
            <w:pPr>
              <w:widowControl w:val="0"/>
              <w:jc w:val="left"/>
              <w:rPr>
                <w:rFonts w:ascii="Arial" w:eastAsia="Times New Roman" w:hAnsi="Arial" w:cs="Arial"/>
                <w:sz w:val="20"/>
                <w:szCs w:val="20"/>
              </w:rPr>
            </w:pPr>
            <w:r w:rsidRPr="00DE315E">
              <w:rPr>
                <w:rFonts w:ascii="Arial" w:eastAsia="Times New Roman" w:hAnsi="Arial" w:cs="Arial"/>
                <w:sz w:val="20"/>
                <w:szCs w:val="20"/>
              </w:rPr>
              <w:t>Rehabilitation or acquisition of existing housing per unit amount of HOME funds: Under $15,000</w:t>
            </w:r>
          </w:p>
        </w:tc>
        <w:tc>
          <w:tcPr>
            <w:tcW w:w="4225" w:type="dxa"/>
          </w:tcPr>
          <w:p w14:paraId="0802F57D" w14:textId="77777777" w:rsidR="00DC6F27" w:rsidRPr="00DE315E" w:rsidRDefault="00DC6F27" w:rsidP="004F451A">
            <w:pPr>
              <w:widowControl w:val="0"/>
              <w:rPr>
                <w:rFonts w:ascii="Arial" w:eastAsia="Times New Roman" w:hAnsi="Arial" w:cs="Arial"/>
                <w:sz w:val="20"/>
                <w:szCs w:val="20"/>
              </w:rPr>
            </w:pPr>
          </w:p>
          <w:p w14:paraId="7490804B" w14:textId="77777777" w:rsidR="00DC6F27" w:rsidRPr="00DE315E" w:rsidRDefault="00DC6F27" w:rsidP="004F451A">
            <w:pPr>
              <w:widowControl w:val="0"/>
              <w:rPr>
                <w:rFonts w:ascii="Arial" w:eastAsia="Times New Roman" w:hAnsi="Arial" w:cs="Arial"/>
                <w:sz w:val="20"/>
                <w:szCs w:val="20"/>
              </w:rPr>
            </w:pPr>
            <w:r w:rsidRPr="00DE315E">
              <w:rPr>
                <w:rFonts w:ascii="Arial" w:eastAsia="Times New Roman" w:hAnsi="Arial" w:cs="Arial"/>
                <w:sz w:val="20"/>
                <w:szCs w:val="20"/>
              </w:rPr>
              <w:t>5 YEARS</w:t>
            </w:r>
          </w:p>
        </w:tc>
      </w:tr>
      <w:tr w:rsidR="00DC6F27" w:rsidRPr="00DE315E" w14:paraId="3702A3B9" w14:textId="77777777" w:rsidTr="004F451A">
        <w:tc>
          <w:tcPr>
            <w:tcW w:w="5125" w:type="dxa"/>
          </w:tcPr>
          <w:p w14:paraId="3D70933C" w14:textId="77777777" w:rsidR="00DC6F27" w:rsidRPr="00DE315E" w:rsidRDefault="00DC6F27" w:rsidP="004F451A">
            <w:pPr>
              <w:widowControl w:val="0"/>
              <w:jc w:val="left"/>
              <w:rPr>
                <w:rFonts w:ascii="Arial" w:eastAsia="Times New Roman" w:hAnsi="Arial" w:cs="Arial"/>
                <w:sz w:val="20"/>
                <w:szCs w:val="20"/>
              </w:rPr>
            </w:pPr>
            <w:r w:rsidRPr="00DE315E">
              <w:rPr>
                <w:rFonts w:ascii="Arial" w:eastAsia="Times New Roman" w:hAnsi="Arial" w:cs="Arial"/>
                <w:sz w:val="20"/>
                <w:szCs w:val="20"/>
              </w:rPr>
              <w:t>$15,000 to $40,000</w:t>
            </w:r>
          </w:p>
        </w:tc>
        <w:tc>
          <w:tcPr>
            <w:tcW w:w="4225" w:type="dxa"/>
          </w:tcPr>
          <w:p w14:paraId="22CD3F50" w14:textId="77777777" w:rsidR="00DC6F27" w:rsidRPr="00DE315E" w:rsidRDefault="00DC6F27" w:rsidP="004F451A">
            <w:pPr>
              <w:widowControl w:val="0"/>
              <w:rPr>
                <w:rFonts w:ascii="Arial" w:eastAsia="Times New Roman" w:hAnsi="Arial" w:cs="Arial"/>
                <w:sz w:val="20"/>
                <w:szCs w:val="20"/>
              </w:rPr>
            </w:pPr>
            <w:r w:rsidRPr="00DE315E">
              <w:rPr>
                <w:rFonts w:ascii="Arial" w:eastAsia="Times New Roman" w:hAnsi="Arial" w:cs="Arial"/>
                <w:sz w:val="20"/>
                <w:szCs w:val="20"/>
              </w:rPr>
              <w:t>10 YEARS</w:t>
            </w:r>
          </w:p>
        </w:tc>
      </w:tr>
      <w:tr w:rsidR="00DC6F27" w:rsidRPr="00DE315E" w14:paraId="479F992B" w14:textId="77777777" w:rsidTr="004F451A">
        <w:tc>
          <w:tcPr>
            <w:tcW w:w="5125" w:type="dxa"/>
          </w:tcPr>
          <w:p w14:paraId="7B4FCADE" w14:textId="77777777" w:rsidR="00DC6F27" w:rsidRPr="00DE315E" w:rsidRDefault="00DC6F27" w:rsidP="004F451A">
            <w:pPr>
              <w:widowControl w:val="0"/>
              <w:jc w:val="left"/>
              <w:rPr>
                <w:rFonts w:ascii="Arial" w:eastAsia="Times New Roman" w:hAnsi="Arial" w:cs="Arial"/>
                <w:sz w:val="20"/>
                <w:szCs w:val="20"/>
              </w:rPr>
            </w:pPr>
            <w:r w:rsidRPr="00DE315E">
              <w:rPr>
                <w:rFonts w:ascii="Arial" w:eastAsia="Times New Roman" w:hAnsi="Arial" w:cs="Arial"/>
                <w:sz w:val="20"/>
                <w:szCs w:val="20"/>
              </w:rPr>
              <w:t>Over $40,000 or rehabilitation involving refinance</w:t>
            </w:r>
          </w:p>
        </w:tc>
        <w:tc>
          <w:tcPr>
            <w:tcW w:w="4225" w:type="dxa"/>
          </w:tcPr>
          <w:p w14:paraId="3F269E9C" w14:textId="77777777" w:rsidR="00DC6F27" w:rsidRPr="00DE315E" w:rsidRDefault="00DC6F27" w:rsidP="004F451A">
            <w:pPr>
              <w:widowControl w:val="0"/>
              <w:rPr>
                <w:rFonts w:ascii="Arial" w:eastAsia="Times New Roman" w:hAnsi="Arial" w:cs="Arial"/>
                <w:sz w:val="20"/>
                <w:szCs w:val="20"/>
              </w:rPr>
            </w:pPr>
            <w:r w:rsidRPr="00DE315E">
              <w:rPr>
                <w:rFonts w:ascii="Arial" w:eastAsia="Times New Roman" w:hAnsi="Arial" w:cs="Arial"/>
                <w:sz w:val="20"/>
                <w:szCs w:val="20"/>
              </w:rPr>
              <w:t>15 YEARS</w:t>
            </w:r>
          </w:p>
        </w:tc>
      </w:tr>
      <w:tr w:rsidR="00DC6F27" w:rsidRPr="00DE315E" w14:paraId="1E74024A" w14:textId="77777777" w:rsidTr="004F451A">
        <w:tc>
          <w:tcPr>
            <w:tcW w:w="5125" w:type="dxa"/>
          </w:tcPr>
          <w:p w14:paraId="50C3DFEF" w14:textId="77777777" w:rsidR="00DC6F27" w:rsidRPr="00DE315E" w:rsidRDefault="00DC6F27" w:rsidP="004F451A">
            <w:pPr>
              <w:widowControl w:val="0"/>
              <w:jc w:val="left"/>
              <w:rPr>
                <w:rFonts w:ascii="Arial" w:eastAsia="Times New Roman" w:hAnsi="Arial" w:cs="Arial"/>
                <w:sz w:val="20"/>
                <w:szCs w:val="20"/>
              </w:rPr>
            </w:pPr>
            <w:r w:rsidRPr="00DE315E">
              <w:rPr>
                <w:rFonts w:ascii="Arial" w:eastAsia="Times New Roman" w:hAnsi="Arial" w:cs="Arial"/>
                <w:sz w:val="20"/>
                <w:szCs w:val="20"/>
              </w:rPr>
              <w:t>New construction or acquisition - newly constructed housing</w:t>
            </w:r>
          </w:p>
        </w:tc>
        <w:tc>
          <w:tcPr>
            <w:tcW w:w="4225" w:type="dxa"/>
          </w:tcPr>
          <w:p w14:paraId="0572C173" w14:textId="77777777" w:rsidR="00DC6F27" w:rsidRPr="00DE315E" w:rsidRDefault="00DC6F27" w:rsidP="004F451A">
            <w:pPr>
              <w:widowControl w:val="0"/>
              <w:rPr>
                <w:rFonts w:ascii="Arial" w:eastAsia="Times New Roman" w:hAnsi="Arial" w:cs="Arial"/>
                <w:sz w:val="20"/>
                <w:szCs w:val="20"/>
              </w:rPr>
            </w:pPr>
            <w:r w:rsidRPr="00DE315E">
              <w:rPr>
                <w:rFonts w:ascii="Arial" w:eastAsia="Times New Roman" w:hAnsi="Arial" w:cs="Arial"/>
                <w:sz w:val="20"/>
                <w:szCs w:val="20"/>
              </w:rPr>
              <w:t>20 YEARS</w:t>
            </w:r>
          </w:p>
        </w:tc>
      </w:tr>
    </w:tbl>
    <w:p w14:paraId="63889C7C" w14:textId="77777777" w:rsidR="00DC6F27" w:rsidRPr="00DE315E" w:rsidRDefault="00DC6F27" w:rsidP="00DC6F27">
      <w:pPr>
        <w:widowControl w:val="0"/>
        <w:spacing w:after="0"/>
        <w:jc w:val="left"/>
        <w:rPr>
          <w:rFonts w:ascii="Arial" w:eastAsia="Times New Roman" w:hAnsi="Arial" w:cs="Arial"/>
          <w:sz w:val="20"/>
          <w:szCs w:val="20"/>
        </w:rPr>
      </w:pPr>
    </w:p>
    <w:p w14:paraId="0AE82574"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sz w:val="20"/>
          <w:szCs w:val="20"/>
        </w:rPr>
        <w:tab/>
      </w:r>
    </w:p>
    <w:p w14:paraId="06F195E8" w14:textId="77777777" w:rsidR="00DC6F27" w:rsidRPr="00DE315E" w:rsidRDefault="00DC6F27" w:rsidP="00DC6F27">
      <w:pPr>
        <w:widowControl w:val="0"/>
        <w:spacing w:after="0"/>
        <w:jc w:val="left"/>
        <w:rPr>
          <w:rFonts w:ascii="Arial" w:eastAsia="Times New Roman" w:hAnsi="Arial" w:cs="Arial"/>
          <w:color w:val="000000"/>
          <w:sz w:val="20"/>
          <w:szCs w:val="20"/>
        </w:rPr>
      </w:pPr>
      <w:r w:rsidRPr="00DE315E">
        <w:rPr>
          <w:rFonts w:ascii="Arial" w:eastAsia="Times New Roman" w:hAnsi="Arial" w:cs="Arial"/>
          <w:b/>
          <w:caps/>
          <w:color w:val="000000"/>
          <w:sz w:val="20"/>
          <w:szCs w:val="20"/>
        </w:rPr>
        <w:t xml:space="preserve">The Federal Funding Accountability and Transparency Act </w:t>
      </w:r>
      <w:r w:rsidRPr="00DE315E">
        <w:rPr>
          <w:rFonts w:ascii="Arial" w:eastAsia="Times New Roman" w:hAnsi="Arial" w:cs="Arial"/>
          <w:b/>
          <w:color w:val="000000"/>
          <w:sz w:val="20"/>
          <w:szCs w:val="20"/>
        </w:rPr>
        <w:t xml:space="preserve">(FFATA) </w:t>
      </w:r>
      <w:r w:rsidRPr="00DE315E">
        <w:rPr>
          <w:rFonts w:ascii="Arial" w:eastAsia="Times New Roman" w:hAnsi="Arial" w:cs="Arial"/>
          <w:color w:val="000000"/>
          <w:sz w:val="20"/>
          <w:szCs w:val="20"/>
        </w:rPr>
        <w:t>requires sub-recipients with federal award over $25,000 to register and maintain Data Universal Numbering System, (DUNS) and Central Contract Registry, (CCR) numbers.  To obtain a DUNS number, and to register with the Central Contractor Registration, (CCR) see links below.</w:t>
      </w:r>
    </w:p>
    <w:p w14:paraId="7D1092AF" w14:textId="77777777" w:rsidR="00DC6F27" w:rsidRPr="00DE315E" w:rsidRDefault="00DC6F27" w:rsidP="00DC6F27">
      <w:pPr>
        <w:widowControl w:val="0"/>
        <w:spacing w:after="0"/>
        <w:jc w:val="left"/>
        <w:rPr>
          <w:rFonts w:ascii="Arial" w:eastAsia="Times New Roman" w:hAnsi="Arial" w:cs="Arial"/>
          <w:color w:val="000000"/>
          <w:sz w:val="20"/>
          <w:szCs w:val="20"/>
        </w:rPr>
      </w:pPr>
      <w:r w:rsidRPr="00DE315E">
        <w:rPr>
          <w:rFonts w:ascii="Arial" w:eastAsia="Times New Roman" w:hAnsi="Arial" w:cs="Arial"/>
          <w:color w:val="000000"/>
          <w:sz w:val="20"/>
          <w:szCs w:val="20"/>
        </w:rPr>
        <w:t> </w:t>
      </w:r>
    </w:p>
    <w:p w14:paraId="7FD8469F" w14:textId="77777777" w:rsidR="00DC6F27" w:rsidRPr="00DE315E" w:rsidRDefault="00DC6F27" w:rsidP="00DC6F27">
      <w:pPr>
        <w:widowControl w:val="0"/>
        <w:spacing w:after="0"/>
        <w:jc w:val="left"/>
        <w:rPr>
          <w:rFonts w:ascii="Arial" w:eastAsia="Times New Roman" w:hAnsi="Arial" w:cs="Arial"/>
          <w:color w:val="000000"/>
          <w:sz w:val="20"/>
          <w:szCs w:val="20"/>
        </w:rPr>
      </w:pPr>
      <w:r w:rsidRPr="00DE315E">
        <w:rPr>
          <w:rFonts w:ascii="Arial" w:eastAsia="Times New Roman" w:hAnsi="Arial" w:cs="Arial"/>
          <w:color w:val="000000"/>
          <w:sz w:val="20"/>
          <w:szCs w:val="20"/>
        </w:rPr>
        <w:t>DUNS number registration information can be obtained at:</w:t>
      </w:r>
    </w:p>
    <w:p w14:paraId="271A3621" w14:textId="77777777" w:rsidR="00DC6F27" w:rsidRPr="00DE315E" w:rsidRDefault="003F3159" w:rsidP="00DC6F27">
      <w:pPr>
        <w:widowControl w:val="0"/>
        <w:spacing w:after="0"/>
        <w:jc w:val="left"/>
        <w:rPr>
          <w:rFonts w:ascii="Arial" w:eastAsia="Times New Roman" w:hAnsi="Arial" w:cs="Arial"/>
          <w:color w:val="000000"/>
          <w:sz w:val="20"/>
          <w:szCs w:val="20"/>
        </w:rPr>
      </w:pPr>
      <w:hyperlink r:id="rId9" w:tgtFrame="_blank" w:history="1">
        <w:r w:rsidR="00DC6F27" w:rsidRPr="00DE315E">
          <w:rPr>
            <w:rFonts w:ascii="Arial" w:eastAsia="Times New Roman" w:hAnsi="Arial" w:cs="Arial"/>
            <w:color w:val="0000FF"/>
            <w:sz w:val="20"/>
            <w:szCs w:val="20"/>
            <w:u w:val="single"/>
          </w:rPr>
          <w:t>https://eupdate.dnb.com/requestoptions.asp</w:t>
        </w:r>
      </w:hyperlink>
    </w:p>
    <w:p w14:paraId="339B46E9" w14:textId="77777777" w:rsidR="00DC6F27" w:rsidRPr="00DE315E" w:rsidRDefault="00DC6F27" w:rsidP="00DC6F27">
      <w:pPr>
        <w:widowControl w:val="0"/>
        <w:spacing w:after="0"/>
        <w:jc w:val="left"/>
        <w:rPr>
          <w:rFonts w:ascii="Arial" w:eastAsia="Times New Roman" w:hAnsi="Arial" w:cs="Arial"/>
          <w:color w:val="000000"/>
          <w:sz w:val="20"/>
          <w:szCs w:val="20"/>
        </w:rPr>
      </w:pPr>
      <w:r w:rsidRPr="00DE315E">
        <w:rPr>
          <w:rFonts w:ascii="Arial" w:eastAsia="Times New Roman" w:hAnsi="Arial" w:cs="Arial"/>
          <w:color w:val="000000"/>
          <w:sz w:val="20"/>
          <w:szCs w:val="20"/>
        </w:rPr>
        <w:t> </w:t>
      </w:r>
    </w:p>
    <w:p w14:paraId="66FC37F4" w14:textId="77777777" w:rsidR="00DC6F27" w:rsidRPr="00DE315E" w:rsidRDefault="00DC6F27" w:rsidP="00DC6F27">
      <w:pPr>
        <w:widowControl w:val="0"/>
        <w:spacing w:after="0"/>
        <w:jc w:val="left"/>
        <w:rPr>
          <w:rFonts w:ascii="Arial" w:eastAsia="Times New Roman" w:hAnsi="Arial" w:cs="Arial"/>
          <w:color w:val="000000"/>
          <w:sz w:val="20"/>
          <w:szCs w:val="20"/>
        </w:rPr>
      </w:pPr>
      <w:r w:rsidRPr="00DE315E">
        <w:rPr>
          <w:rFonts w:ascii="Arial" w:eastAsia="Times New Roman" w:hAnsi="Arial" w:cs="Arial"/>
          <w:color w:val="000000"/>
          <w:sz w:val="20"/>
          <w:szCs w:val="20"/>
        </w:rPr>
        <w:t xml:space="preserve">Registration information for Central Contractor Registry can be found at: </w:t>
      </w:r>
    </w:p>
    <w:p w14:paraId="74FB6746" w14:textId="77777777" w:rsidR="00DC6F27" w:rsidRPr="00DE315E" w:rsidRDefault="003F3159" w:rsidP="00DC6F27">
      <w:pPr>
        <w:widowControl w:val="0"/>
        <w:spacing w:after="0"/>
        <w:jc w:val="left"/>
        <w:rPr>
          <w:rFonts w:ascii="Arial" w:eastAsia="Times New Roman" w:hAnsi="Arial" w:cs="Arial"/>
          <w:color w:val="000000"/>
          <w:sz w:val="20"/>
          <w:szCs w:val="20"/>
        </w:rPr>
      </w:pPr>
      <w:hyperlink r:id="rId10" w:tgtFrame="_blank" w:history="1">
        <w:r w:rsidR="00DC6F27" w:rsidRPr="00DE315E">
          <w:rPr>
            <w:rFonts w:ascii="Arial" w:eastAsia="Times New Roman" w:hAnsi="Arial" w:cs="Arial"/>
            <w:color w:val="0000FF"/>
            <w:sz w:val="20"/>
            <w:szCs w:val="20"/>
            <w:u w:val="single"/>
          </w:rPr>
          <w:t>http://www.bpn.gov/ccr/default.aspx</w:t>
        </w:r>
      </w:hyperlink>
    </w:p>
    <w:p w14:paraId="6BB5EE40" w14:textId="77777777" w:rsidR="00DC6F27" w:rsidRPr="00DE315E" w:rsidRDefault="00DC6F27" w:rsidP="00DC6F27">
      <w:pPr>
        <w:autoSpaceDE w:val="0"/>
        <w:autoSpaceDN w:val="0"/>
        <w:adjustRightInd w:val="0"/>
        <w:spacing w:after="0"/>
        <w:jc w:val="left"/>
        <w:rPr>
          <w:rFonts w:ascii="Arial" w:eastAsia="Times New Roman" w:hAnsi="Arial" w:cs="Arial"/>
          <w:b/>
          <w:caps/>
          <w:color w:val="000000"/>
          <w:sz w:val="20"/>
          <w:szCs w:val="20"/>
          <w:u w:val="single"/>
        </w:rPr>
      </w:pPr>
    </w:p>
    <w:p w14:paraId="3D81F6F9" w14:textId="77777777" w:rsidR="00DC6F27" w:rsidRPr="00DE315E" w:rsidRDefault="00DC6F27" w:rsidP="00DC6F27">
      <w:pPr>
        <w:autoSpaceDE w:val="0"/>
        <w:autoSpaceDN w:val="0"/>
        <w:adjustRightInd w:val="0"/>
        <w:spacing w:after="0"/>
        <w:jc w:val="left"/>
        <w:rPr>
          <w:rFonts w:ascii="Arial" w:eastAsia="Times New Roman" w:hAnsi="Arial" w:cs="Arial"/>
          <w:color w:val="000000"/>
          <w:sz w:val="20"/>
          <w:szCs w:val="20"/>
        </w:rPr>
      </w:pPr>
      <w:r w:rsidRPr="00DE315E">
        <w:rPr>
          <w:rFonts w:ascii="Arial" w:eastAsia="Times New Roman" w:hAnsi="Arial" w:cs="Arial"/>
          <w:b/>
          <w:caps/>
          <w:color w:val="000000"/>
          <w:sz w:val="20"/>
          <w:szCs w:val="20"/>
        </w:rPr>
        <w:t xml:space="preserve">Affirmative Marketing Program (AfHMP). </w:t>
      </w:r>
      <w:r w:rsidRPr="00DE315E">
        <w:rPr>
          <w:rFonts w:ascii="Arial" w:eastAsia="Times New Roman" w:hAnsi="Arial" w:cs="Arial"/>
          <w:color w:val="000000"/>
          <w:sz w:val="20"/>
          <w:szCs w:val="20"/>
        </w:rPr>
        <w:t xml:space="preserve">The marketing for the program will be done in accordance with the Affirmative Marketing requirements in 24 CFR 92.351. Records shall be maintained of the efforts made to market projects which contain five (5) or more HOME assisted units Pursuant to the above regulation, PHB has adopted HUD’s AFHMP template at: </w:t>
      </w:r>
      <w:hyperlink r:id="rId11" w:history="1">
        <w:r w:rsidRPr="00DE315E">
          <w:rPr>
            <w:rFonts w:ascii="Arial" w:eastAsia="Times New Roman" w:hAnsi="Arial" w:cs="Arial"/>
            <w:color w:val="0000FF"/>
            <w:sz w:val="20"/>
            <w:szCs w:val="20"/>
            <w:u w:val="single"/>
          </w:rPr>
          <w:t>http://portal.hud.gov/hudportal/documents/huddoc?id=935-2a.pdf</w:t>
        </w:r>
      </w:hyperlink>
      <w:r w:rsidRPr="00DE315E">
        <w:rPr>
          <w:rFonts w:ascii="Arial" w:eastAsia="Times New Roman" w:hAnsi="Arial" w:cs="Arial"/>
          <w:color w:val="000000"/>
          <w:sz w:val="20"/>
          <w:szCs w:val="20"/>
        </w:rPr>
        <w:tab/>
      </w:r>
    </w:p>
    <w:p w14:paraId="3DEC93B0" w14:textId="77777777" w:rsidR="00DC6F27" w:rsidRPr="00DE315E" w:rsidRDefault="00DC6F27" w:rsidP="00DC6F27">
      <w:pPr>
        <w:widowControl w:val="0"/>
        <w:spacing w:after="0"/>
        <w:jc w:val="left"/>
        <w:rPr>
          <w:rFonts w:ascii="Arial" w:eastAsia="Times New Roman" w:hAnsi="Arial" w:cs="Arial"/>
          <w:sz w:val="20"/>
          <w:szCs w:val="20"/>
        </w:rPr>
      </w:pPr>
    </w:p>
    <w:p w14:paraId="37EA89A0"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FEES</w:t>
      </w:r>
      <w:r w:rsidRPr="00DE315E">
        <w:rPr>
          <w:rFonts w:ascii="Arial" w:eastAsia="Times New Roman" w:hAnsi="Arial" w:cs="Arial"/>
          <w:sz w:val="20"/>
          <w:szCs w:val="20"/>
        </w:rPr>
        <w:t>. The charging of fees is prohibited under the HOME Rule. The Subrecipient and/or associated community housing development organizations may not charge for origination fees, or other fees for the costs of administering the HOME program, except as permitted by Section 92.214(b)(1)</w:t>
      </w:r>
    </w:p>
    <w:p w14:paraId="3BAE8BED" w14:textId="77777777" w:rsidR="00DC6F27" w:rsidRPr="00DE315E" w:rsidRDefault="00DC6F27" w:rsidP="00DC6F27">
      <w:pPr>
        <w:widowControl w:val="0"/>
        <w:spacing w:after="0"/>
        <w:jc w:val="left"/>
        <w:rPr>
          <w:rFonts w:ascii="Arial" w:eastAsia="Times New Roman" w:hAnsi="Arial" w:cs="Arial"/>
          <w:sz w:val="20"/>
          <w:szCs w:val="20"/>
        </w:rPr>
      </w:pPr>
    </w:p>
    <w:p w14:paraId="323AE3E8" w14:textId="77777777" w:rsidR="00DC6F27" w:rsidRPr="00DE315E" w:rsidRDefault="00DC6F27" w:rsidP="00DC6F27">
      <w:pPr>
        <w:widowControl w:val="0"/>
        <w:spacing w:after="0"/>
        <w:jc w:val="left"/>
        <w:rPr>
          <w:rFonts w:ascii="Arial" w:eastAsia="Times New Roman" w:hAnsi="Arial" w:cs="Arial"/>
          <w:sz w:val="20"/>
          <w:szCs w:val="20"/>
        </w:rPr>
      </w:pPr>
      <w:r w:rsidRPr="00DE315E">
        <w:rPr>
          <w:rFonts w:ascii="Arial" w:eastAsia="Times New Roman" w:hAnsi="Arial" w:cs="Arial"/>
          <w:b/>
          <w:sz w:val="20"/>
          <w:szCs w:val="20"/>
        </w:rPr>
        <w:t>REVERSION OF ASSETS.</w:t>
      </w:r>
      <w:r w:rsidRPr="00DE315E">
        <w:rPr>
          <w:rFonts w:ascii="Arial" w:eastAsia="Times New Roman" w:hAnsi="Arial" w:cs="Arial"/>
          <w:sz w:val="20"/>
          <w:szCs w:val="20"/>
        </w:rPr>
        <w:t xml:space="preserve"> Upon expiration of the contract, the Subrecipient must transfer to the CITY any HOME funds on hand at the time of expiration and any accounts receivable attributable to the use of HOME funds [92.504(c)(2)(vii)].</w:t>
      </w:r>
    </w:p>
    <w:p w14:paraId="184608D6" w14:textId="77777777" w:rsidR="00DC6F27" w:rsidRDefault="00DC6F27" w:rsidP="00723F76">
      <w:pPr>
        <w:jc w:val="both"/>
      </w:pPr>
    </w:p>
    <w:sectPr w:rsidR="00DC6F27" w:rsidSect="00AE256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3BE10" w14:textId="77777777" w:rsidR="00E54E9A" w:rsidRDefault="00E54E9A">
      <w:pPr>
        <w:spacing w:after="0"/>
      </w:pPr>
      <w:r>
        <w:separator/>
      </w:r>
    </w:p>
  </w:endnote>
  <w:endnote w:type="continuationSeparator" w:id="0">
    <w:p w14:paraId="623C572D" w14:textId="77777777" w:rsidR="00E54E9A" w:rsidRDefault="00E54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B685" w14:textId="47211808" w:rsidR="009324C9" w:rsidRPr="00DE315E" w:rsidRDefault="009324C9" w:rsidP="00DE315E">
    <w:pPr>
      <w:pStyle w:val="Footer"/>
      <w:pBdr>
        <w:top w:val="single" w:sz="4" w:space="1" w:color="D9D9D9" w:themeColor="background1" w:themeShade="D9"/>
      </w:pBdr>
      <w:jc w:val="right"/>
      <w:rPr>
        <w:rFonts w:ascii="Arial" w:hAnsi="Arial" w:cs="Arial"/>
        <w:sz w:val="20"/>
      </w:rPr>
    </w:pPr>
    <w:r w:rsidRPr="00DE315E">
      <w:rPr>
        <w:rFonts w:ascii="Arial" w:hAnsi="Arial" w:cs="Arial"/>
        <w:sz w:val="20"/>
      </w:rPr>
      <w:t xml:space="preserve">IGA PHB-City of Gresham FY </w:t>
    </w:r>
    <w:r>
      <w:rPr>
        <w:rFonts w:ascii="Arial" w:hAnsi="Arial" w:cs="Arial"/>
        <w:sz w:val="20"/>
      </w:rPr>
      <w:t>21</w:t>
    </w:r>
    <w:r w:rsidRPr="00DE315E">
      <w:rPr>
        <w:rFonts w:ascii="Arial" w:hAnsi="Arial" w:cs="Arial"/>
        <w:sz w:val="20"/>
      </w:rPr>
      <w:t>-</w:t>
    </w:r>
    <w:r>
      <w:rPr>
        <w:rFonts w:ascii="Arial" w:hAnsi="Arial" w:cs="Arial"/>
        <w:sz w:val="20"/>
      </w:rPr>
      <w:t>22</w:t>
    </w:r>
    <w:r w:rsidRPr="00DE315E">
      <w:rPr>
        <w:rFonts w:ascii="Arial" w:hAnsi="Arial" w:cs="Arial"/>
        <w:sz w:val="20"/>
      </w:rPr>
      <w:t xml:space="preserve"> HOME IGA</w:t>
    </w:r>
  </w:p>
  <w:sdt>
    <w:sdtPr>
      <w:rPr>
        <w:rFonts w:ascii="Arial" w:hAnsi="Arial" w:cs="Arial"/>
        <w:sz w:val="20"/>
      </w:rPr>
      <w:id w:val="-2073041800"/>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705238520"/>
          <w:docPartObj>
            <w:docPartGallery w:val="Page Numbers (Top of Page)"/>
            <w:docPartUnique/>
          </w:docPartObj>
        </w:sdtPr>
        <w:sdtEndPr>
          <w:rPr>
            <w:rFonts w:ascii="Times New Roman" w:hAnsi="Times New Roman" w:cs="Times New Roman"/>
            <w:sz w:val="24"/>
          </w:rPr>
        </w:sdtEndPr>
        <w:sdtContent>
          <w:p w14:paraId="13D80135" w14:textId="77777777" w:rsidR="009324C9" w:rsidRDefault="009324C9" w:rsidP="00DE315E">
            <w:pPr>
              <w:pStyle w:val="Footer"/>
              <w:jc w:val="right"/>
            </w:pPr>
            <w:r w:rsidRPr="00DE315E">
              <w:rPr>
                <w:rFonts w:ascii="Arial" w:hAnsi="Arial" w:cs="Arial"/>
                <w:sz w:val="20"/>
              </w:rPr>
              <w:t xml:space="preserve">Page </w:t>
            </w:r>
            <w:r w:rsidRPr="00DE315E">
              <w:rPr>
                <w:rFonts w:ascii="Arial" w:hAnsi="Arial" w:cs="Arial"/>
                <w:bCs/>
                <w:sz w:val="20"/>
              </w:rPr>
              <w:fldChar w:fldCharType="begin"/>
            </w:r>
            <w:r w:rsidRPr="00DE315E">
              <w:rPr>
                <w:rFonts w:ascii="Arial" w:hAnsi="Arial" w:cs="Arial"/>
                <w:bCs/>
                <w:sz w:val="20"/>
              </w:rPr>
              <w:instrText xml:space="preserve"> PAGE </w:instrText>
            </w:r>
            <w:r w:rsidRPr="00DE315E">
              <w:rPr>
                <w:rFonts w:ascii="Arial" w:hAnsi="Arial" w:cs="Arial"/>
                <w:bCs/>
                <w:sz w:val="20"/>
              </w:rPr>
              <w:fldChar w:fldCharType="separate"/>
            </w:r>
            <w:r>
              <w:rPr>
                <w:rFonts w:ascii="Arial" w:hAnsi="Arial" w:cs="Arial"/>
                <w:bCs/>
                <w:noProof/>
                <w:sz w:val="20"/>
              </w:rPr>
              <w:t>19</w:t>
            </w:r>
            <w:r w:rsidRPr="00DE315E">
              <w:rPr>
                <w:rFonts w:ascii="Arial" w:hAnsi="Arial" w:cs="Arial"/>
                <w:bCs/>
                <w:sz w:val="20"/>
              </w:rPr>
              <w:fldChar w:fldCharType="end"/>
            </w:r>
            <w:r w:rsidRPr="00DE315E">
              <w:rPr>
                <w:rFonts w:ascii="Arial" w:hAnsi="Arial" w:cs="Arial"/>
                <w:sz w:val="20"/>
              </w:rPr>
              <w:t xml:space="preserve"> of </w:t>
            </w:r>
            <w:r w:rsidRPr="00DE315E">
              <w:rPr>
                <w:rFonts w:ascii="Arial" w:hAnsi="Arial" w:cs="Arial"/>
                <w:bCs/>
                <w:sz w:val="20"/>
              </w:rPr>
              <w:fldChar w:fldCharType="begin"/>
            </w:r>
            <w:r w:rsidRPr="00DE315E">
              <w:rPr>
                <w:rFonts w:ascii="Arial" w:hAnsi="Arial" w:cs="Arial"/>
                <w:bCs/>
                <w:sz w:val="20"/>
              </w:rPr>
              <w:instrText xml:space="preserve"> NUMPAGES  </w:instrText>
            </w:r>
            <w:r w:rsidRPr="00DE315E">
              <w:rPr>
                <w:rFonts w:ascii="Arial" w:hAnsi="Arial" w:cs="Arial"/>
                <w:bCs/>
                <w:sz w:val="20"/>
              </w:rPr>
              <w:fldChar w:fldCharType="separate"/>
            </w:r>
            <w:r>
              <w:rPr>
                <w:rFonts w:ascii="Arial" w:hAnsi="Arial" w:cs="Arial"/>
                <w:bCs/>
                <w:noProof/>
                <w:sz w:val="20"/>
              </w:rPr>
              <w:t>19</w:t>
            </w:r>
            <w:r w:rsidRPr="00DE315E">
              <w:rPr>
                <w:rFonts w:ascii="Arial" w:hAnsi="Arial" w:cs="Arial"/>
                <w:bCs/>
                <w:sz w:val="20"/>
              </w:rPr>
              <w:fldChar w:fldCharType="end"/>
            </w:r>
          </w:p>
        </w:sdtContent>
      </w:sdt>
    </w:sdtContent>
  </w:sdt>
  <w:p w14:paraId="60B30F84" w14:textId="77777777" w:rsidR="009324C9" w:rsidRDefault="00932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3F2B" w14:textId="77777777" w:rsidR="00E54E9A" w:rsidRDefault="00E54E9A">
      <w:pPr>
        <w:spacing w:after="0"/>
      </w:pPr>
      <w:r>
        <w:separator/>
      </w:r>
    </w:p>
  </w:footnote>
  <w:footnote w:type="continuationSeparator" w:id="0">
    <w:p w14:paraId="346105DB" w14:textId="77777777" w:rsidR="00E54E9A" w:rsidRDefault="00E54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DAC7" w14:textId="632C73DD" w:rsidR="009324C9" w:rsidRPr="003F3159" w:rsidRDefault="003F3159" w:rsidP="003F3159">
    <w:pPr>
      <w:pStyle w:val="Header"/>
      <w:jc w:val="right"/>
      <w:rPr>
        <w:b/>
        <w:bCs/>
      </w:rPr>
    </w:pPr>
    <w:r>
      <w:rPr>
        <w:b/>
        <w:bCs/>
      </w:rPr>
      <w:t>EXHIBIT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DBB"/>
    <w:multiLevelType w:val="singleLevel"/>
    <w:tmpl w:val="0409000F"/>
    <w:lvl w:ilvl="0">
      <w:start w:val="1"/>
      <w:numFmt w:val="decimal"/>
      <w:lvlText w:val="%1."/>
      <w:lvlJc w:val="left"/>
      <w:pPr>
        <w:ind w:left="720" w:hanging="360"/>
      </w:pPr>
    </w:lvl>
  </w:abstractNum>
  <w:abstractNum w:abstractNumId="1" w15:restartNumberingAfterBreak="0">
    <w:nsid w:val="072705C3"/>
    <w:multiLevelType w:val="hybridMultilevel"/>
    <w:tmpl w:val="8808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6BC0"/>
    <w:multiLevelType w:val="hybridMultilevel"/>
    <w:tmpl w:val="1344779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C4D06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7222A6"/>
    <w:multiLevelType w:val="hybridMultilevel"/>
    <w:tmpl w:val="CA9A1E36"/>
    <w:lvl w:ilvl="0" w:tplc="8376CE7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80373"/>
    <w:multiLevelType w:val="singleLevel"/>
    <w:tmpl w:val="28FEEC2C"/>
    <w:lvl w:ilvl="0">
      <w:start w:val="33"/>
      <w:numFmt w:val="upperLetter"/>
      <w:lvlText w:val="%1."/>
      <w:lvlJc w:val="left"/>
      <w:pPr>
        <w:tabs>
          <w:tab w:val="num" w:pos="1440"/>
        </w:tabs>
        <w:ind w:left="1440" w:hanging="720"/>
      </w:pPr>
      <w:rPr>
        <w:rFonts w:cs="Times New Roman" w:hint="default"/>
      </w:rPr>
    </w:lvl>
  </w:abstractNum>
  <w:abstractNum w:abstractNumId="6" w15:restartNumberingAfterBreak="0">
    <w:nsid w:val="447E4DA4"/>
    <w:multiLevelType w:val="multilevel"/>
    <w:tmpl w:val="EF16AE84"/>
    <w:lvl w:ilvl="0">
      <w:start w:val="1"/>
      <w:numFmt w:val="upperRoman"/>
      <w:pStyle w:val="Heading1"/>
      <w:lvlText w:val="%1."/>
      <w:lvlJc w:val="left"/>
      <w:pPr>
        <w:tabs>
          <w:tab w:val="num" w:pos="576"/>
        </w:tabs>
        <w:ind w:left="576" w:hanging="576"/>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376"/>
        </w:tabs>
        <w:ind w:left="2376" w:hanging="576"/>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numFmt w:val="lowerRoman"/>
      <w:lvlText w:val="%9."/>
      <w:lvlJc w:val="left"/>
      <w:pPr>
        <w:tabs>
          <w:tab w:val="num" w:pos="3240"/>
        </w:tabs>
        <w:ind w:left="3240" w:hanging="360"/>
      </w:pPr>
      <w:rPr>
        <w:rFonts w:cs="Times New Roman" w:hint="default"/>
      </w:rPr>
    </w:lvl>
  </w:abstractNum>
  <w:abstractNum w:abstractNumId="7" w15:restartNumberingAfterBreak="0">
    <w:nsid w:val="49267C9A"/>
    <w:multiLevelType w:val="hybridMultilevel"/>
    <w:tmpl w:val="DD42AF98"/>
    <w:lvl w:ilvl="0" w:tplc="04090015">
      <w:start w:val="1"/>
      <w:numFmt w:val="upperLetter"/>
      <w:lvlText w:val="%1."/>
      <w:lvlJc w:val="left"/>
      <w:pPr>
        <w:tabs>
          <w:tab w:val="num" w:pos="1800"/>
        </w:tabs>
        <w:ind w:left="1800" w:hanging="360"/>
      </w:pPr>
      <w:rPr>
        <w:rFonts w:cs="Times New Roman"/>
      </w:rPr>
    </w:lvl>
    <w:lvl w:ilvl="1" w:tplc="EA7E91A4">
      <w:start w:val="1"/>
      <w:numFmt w:val="lowerLetter"/>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4EBC5683"/>
    <w:multiLevelType w:val="multilevel"/>
    <w:tmpl w:val="6FA23316"/>
    <w:lvl w:ilvl="0">
      <w:start w:val="1"/>
      <w:numFmt w:val="upperRoman"/>
      <w:lvlText w:val="%1"/>
      <w:lvlJc w:val="left"/>
      <w:pPr>
        <w:tabs>
          <w:tab w:val="num" w:pos="720"/>
        </w:tabs>
        <w:ind w:left="720" w:hanging="648"/>
      </w:pPr>
      <w:rPr>
        <w:rFonts w:ascii="Times New Roman" w:hAnsi="Times New Roman" w:hint="default"/>
        <w:b/>
        <w:color w:val="auto"/>
        <w:sz w:val="24"/>
      </w:rPr>
    </w:lvl>
    <w:lvl w:ilvl="1">
      <w:start w:val="1"/>
      <w:numFmt w:val="decimal"/>
      <w:lvlText w:val="%2."/>
      <w:lvlJc w:val="left"/>
      <w:pPr>
        <w:tabs>
          <w:tab w:val="num" w:pos="720"/>
        </w:tabs>
        <w:ind w:left="864" w:hanging="504"/>
      </w:pPr>
      <w:rPr>
        <w:rFonts w:hint="default"/>
      </w:rPr>
    </w:lvl>
    <w:lvl w:ilvl="2">
      <w:start w:val="1"/>
      <w:numFmt w:val="upperLetter"/>
      <w:lvlText w:val="%3."/>
      <w:lvlJc w:val="left"/>
      <w:pPr>
        <w:tabs>
          <w:tab w:val="num" w:pos="1296"/>
        </w:tabs>
        <w:ind w:left="1296" w:hanging="576"/>
      </w:pPr>
      <w:rPr>
        <w:rFonts w:hint="default"/>
      </w:rPr>
    </w:lvl>
    <w:lvl w:ilvl="3">
      <w:start w:val="1"/>
      <w:numFmt w:val="lowerRoman"/>
      <w:lvlText w:val="%4."/>
      <w:lvlJc w:val="left"/>
      <w:pPr>
        <w:tabs>
          <w:tab w:val="num" w:pos="1584"/>
        </w:tabs>
        <w:ind w:left="1584" w:hanging="432"/>
      </w:pPr>
      <w:rPr>
        <w:rFonts w:hint="default"/>
      </w:rPr>
    </w:lvl>
    <w:lvl w:ilvl="4">
      <w:start w:val="1"/>
      <w:numFmt w:val="decimal"/>
      <w:lvlText w:val="%5)"/>
      <w:lvlJc w:val="left"/>
      <w:pPr>
        <w:tabs>
          <w:tab w:val="num" w:pos="2160"/>
        </w:tabs>
        <w:ind w:left="2088" w:hanging="648"/>
      </w:pPr>
      <w:rPr>
        <w:rFonts w:hint="default"/>
      </w:rPr>
    </w:lvl>
    <w:lvl w:ilvl="5">
      <w:start w:val="1"/>
      <w:numFmt w:val="lowerLetter"/>
      <w:lvlText w:val="%6."/>
      <w:lvlJc w:val="left"/>
      <w:pPr>
        <w:tabs>
          <w:tab w:val="num" w:pos="2808"/>
        </w:tabs>
        <w:ind w:left="2880" w:hanging="720"/>
      </w:pPr>
      <w:rPr>
        <w:rFonts w:hint="default"/>
      </w:rPr>
    </w:lvl>
    <w:lvl w:ilvl="6">
      <w:start w:val="1"/>
      <w:numFmt w:val="decimal"/>
      <w:lvlText w:val="%7."/>
      <w:lvlJc w:val="left"/>
      <w:pPr>
        <w:ind w:left="2448"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168" w:hanging="360"/>
      </w:pPr>
      <w:rPr>
        <w:rFonts w:hint="default"/>
      </w:rPr>
    </w:lvl>
  </w:abstractNum>
  <w:abstractNum w:abstractNumId="9" w15:restartNumberingAfterBreak="0">
    <w:nsid w:val="629B2527"/>
    <w:multiLevelType w:val="hybridMultilevel"/>
    <w:tmpl w:val="D99E3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224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E8B16F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F3C1BD2"/>
    <w:multiLevelType w:val="hybridMultilevel"/>
    <w:tmpl w:val="8DFA568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E26B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3F01BFE"/>
    <w:multiLevelType w:val="hybridMultilevel"/>
    <w:tmpl w:val="0A027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F0038"/>
    <w:multiLevelType w:val="hybridMultilevel"/>
    <w:tmpl w:val="809EA12E"/>
    <w:lvl w:ilvl="0" w:tplc="7BA4B6CC">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3"/>
  </w:num>
  <w:num w:numId="4">
    <w:abstractNumId w:val="10"/>
  </w:num>
  <w:num w:numId="5">
    <w:abstractNumId w:val="13"/>
  </w:num>
  <w:num w:numId="6">
    <w:abstractNumId w:val="11"/>
  </w:num>
  <w:num w:numId="7">
    <w:abstractNumId w:val="5"/>
  </w:num>
  <w:num w:numId="8">
    <w:abstractNumId w:val="0"/>
  </w:num>
  <w:num w:numId="9">
    <w:abstractNumId w:val="7"/>
  </w:num>
  <w:num w:numId="10">
    <w:abstractNumId w:val="2"/>
  </w:num>
  <w:num w:numId="11">
    <w:abstractNumId w:val="4"/>
  </w:num>
  <w:num w:numId="12">
    <w:abstractNumId w:val="15"/>
  </w:num>
  <w:num w:numId="13">
    <w:abstractNumId w:val="12"/>
  </w:num>
  <w:num w:numId="14">
    <w:abstractNumId w:val="6"/>
    <w:lvlOverride w:ilvl="0">
      <w:startOverride w:val="1"/>
    </w:lvlOverride>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9F"/>
    <w:rsid w:val="000003FE"/>
    <w:rsid w:val="000012F2"/>
    <w:rsid w:val="00003331"/>
    <w:rsid w:val="00014880"/>
    <w:rsid w:val="00016741"/>
    <w:rsid w:val="00026A1E"/>
    <w:rsid w:val="00031235"/>
    <w:rsid w:val="00032AB7"/>
    <w:rsid w:val="000363D6"/>
    <w:rsid w:val="00037A87"/>
    <w:rsid w:val="000435B9"/>
    <w:rsid w:val="00052140"/>
    <w:rsid w:val="000545AA"/>
    <w:rsid w:val="0005798E"/>
    <w:rsid w:val="00065EC5"/>
    <w:rsid w:val="00067109"/>
    <w:rsid w:val="000705EE"/>
    <w:rsid w:val="00070D0D"/>
    <w:rsid w:val="00070E6A"/>
    <w:rsid w:val="00082426"/>
    <w:rsid w:val="00083F44"/>
    <w:rsid w:val="0008608B"/>
    <w:rsid w:val="00086E1C"/>
    <w:rsid w:val="000907FA"/>
    <w:rsid w:val="00093D67"/>
    <w:rsid w:val="00093DEC"/>
    <w:rsid w:val="00096FFA"/>
    <w:rsid w:val="000A0E07"/>
    <w:rsid w:val="000A1AB8"/>
    <w:rsid w:val="000A45C5"/>
    <w:rsid w:val="000A746D"/>
    <w:rsid w:val="000A7C78"/>
    <w:rsid w:val="000B0A58"/>
    <w:rsid w:val="000B1DFD"/>
    <w:rsid w:val="000B42BC"/>
    <w:rsid w:val="000B6B02"/>
    <w:rsid w:val="000C7220"/>
    <w:rsid w:val="000D373F"/>
    <w:rsid w:val="000D7973"/>
    <w:rsid w:val="000E4DDA"/>
    <w:rsid w:val="000E58B4"/>
    <w:rsid w:val="000F6179"/>
    <w:rsid w:val="000F68D4"/>
    <w:rsid w:val="000F7081"/>
    <w:rsid w:val="001013B0"/>
    <w:rsid w:val="00105C0B"/>
    <w:rsid w:val="00114301"/>
    <w:rsid w:val="00116F12"/>
    <w:rsid w:val="00132280"/>
    <w:rsid w:val="00136CDE"/>
    <w:rsid w:val="00142E37"/>
    <w:rsid w:val="001437F2"/>
    <w:rsid w:val="00144451"/>
    <w:rsid w:val="001463C8"/>
    <w:rsid w:val="00147A36"/>
    <w:rsid w:val="001504DC"/>
    <w:rsid w:val="00150CDB"/>
    <w:rsid w:val="00153DDE"/>
    <w:rsid w:val="00155114"/>
    <w:rsid w:val="00156837"/>
    <w:rsid w:val="001620D0"/>
    <w:rsid w:val="00163DD5"/>
    <w:rsid w:val="00164FF7"/>
    <w:rsid w:val="00170190"/>
    <w:rsid w:val="00170416"/>
    <w:rsid w:val="00171BA9"/>
    <w:rsid w:val="00174954"/>
    <w:rsid w:val="001819D6"/>
    <w:rsid w:val="001915B3"/>
    <w:rsid w:val="00195521"/>
    <w:rsid w:val="00196733"/>
    <w:rsid w:val="001A1761"/>
    <w:rsid w:val="001A5660"/>
    <w:rsid w:val="001B02CC"/>
    <w:rsid w:val="001B3766"/>
    <w:rsid w:val="001C3AAF"/>
    <w:rsid w:val="001C731C"/>
    <w:rsid w:val="001D67D4"/>
    <w:rsid w:val="001D6A06"/>
    <w:rsid w:val="001E2860"/>
    <w:rsid w:val="001F1C3E"/>
    <w:rsid w:val="001F763F"/>
    <w:rsid w:val="0020025C"/>
    <w:rsid w:val="00201025"/>
    <w:rsid w:val="0020259D"/>
    <w:rsid w:val="00211A7C"/>
    <w:rsid w:val="00224B3B"/>
    <w:rsid w:val="0023564D"/>
    <w:rsid w:val="00240131"/>
    <w:rsid w:val="00240322"/>
    <w:rsid w:val="00245822"/>
    <w:rsid w:val="002556B3"/>
    <w:rsid w:val="00256F3A"/>
    <w:rsid w:val="00262E6C"/>
    <w:rsid w:val="00281162"/>
    <w:rsid w:val="002864D5"/>
    <w:rsid w:val="00286610"/>
    <w:rsid w:val="00297214"/>
    <w:rsid w:val="002977E4"/>
    <w:rsid w:val="002A0008"/>
    <w:rsid w:val="002A12FA"/>
    <w:rsid w:val="002B2B0A"/>
    <w:rsid w:val="002B5C2F"/>
    <w:rsid w:val="002C1FE7"/>
    <w:rsid w:val="002C2A28"/>
    <w:rsid w:val="002C36E0"/>
    <w:rsid w:val="002E3195"/>
    <w:rsid w:val="002E3F9C"/>
    <w:rsid w:val="002E7C92"/>
    <w:rsid w:val="00302DD3"/>
    <w:rsid w:val="0030696B"/>
    <w:rsid w:val="00317E84"/>
    <w:rsid w:val="00322F92"/>
    <w:rsid w:val="00324A1A"/>
    <w:rsid w:val="00330167"/>
    <w:rsid w:val="003451F7"/>
    <w:rsid w:val="003505AD"/>
    <w:rsid w:val="00351E26"/>
    <w:rsid w:val="003555C3"/>
    <w:rsid w:val="00360520"/>
    <w:rsid w:val="00360905"/>
    <w:rsid w:val="00362BEC"/>
    <w:rsid w:val="00386451"/>
    <w:rsid w:val="00387E00"/>
    <w:rsid w:val="00390872"/>
    <w:rsid w:val="00395C91"/>
    <w:rsid w:val="003A2F33"/>
    <w:rsid w:val="003A7430"/>
    <w:rsid w:val="003B4898"/>
    <w:rsid w:val="003C2B1A"/>
    <w:rsid w:val="003C4581"/>
    <w:rsid w:val="003C6356"/>
    <w:rsid w:val="003D1402"/>
    <w:rsid w:val="003E12C2"/>
    <w:rsid w:val="003E4928"/>
    <w:rsid w:val="003E7EFC"/>
    <w:rsid w:val="003F0E8C"/>
    <w:rsid w:val="003F3159"/>
    <w:rsid w:val="00404B42"/>
    <w:rsid w:val="0040688C"/>
    <w:rsid w:val="00415F4A"/>
    <w:rsid w:val="00417AEA"/>
    <w:rsid w:val="00421C3F"/>
    <w:rsid w:val="00423507"/>
    <w:rsid w:val="0042638F"/>
    <w:rsid w:val="00426F54"/>
    <w:rsid w:val="004271D3"/>
    <w:rsid w:val="00427D76"/>
    <w:rsid w:val="004309BA"/>
    <w:rsid w:val="00431576"/>
    <w:rsid w:val="0043271F"/>
    <w:rsid w:val="00433A87"/>
    <w:rsid w:val="004351BF"/>
    <w:rsid w:val="00441058"/>
    <w:rsid w:val="0044278C"/>
    <w:rsid w:val="004441E2"/>
    <w:rsid w:val="004475EE"/>
    <w:rsid w:val="00447BAC"/>
    <w:rsid w:val="00454C2A"/>
    <w:rsid w:val="0046169E"/>
    <w:rsid w:val="00466A16"/>
    <w:rsid w:val="00471352"/>
    <w:rsid w:val="004760B8"/>
    <w:rsid w:val="004817F3"/>
    <w:rsid w:val="004865E1"/>
    <w:rsid w:val="00487B70"/>
    <w:rsid w:val="004949F7"/>
    <w:rsid w:val="00496055"/>
    <w:rsid w:val="004A54B9"/>
    <w:rsid w:val="004C557A"/>
    <w:rsid w:val="004D1C89"/>
    <w:rsid w:val="004D5126"/>
    <w:rsid w:val="004D608F"/>
    <w:rsid w:val="004E397C"/>
    <w:rsid w:val="004E598A"/>
    <w:rsid w:val="004E783F"/>
    <w:rsid w:val="004E7F22"/>
    <w:rsid w:val="004F26FB"/>
    <w:rsid w:val="004F451A"/>
    <w:rsid w:val="004F7971"/>
    <w:rsid w:val="00501555"/>
    <w:rsid w:val="00501614"/>
    <w:rsid w:val="005047DD"/>
    <w:rsid w:val="00507E11"/>
    <w:rsid w:val="00514ECB"/>
    <w:rsid w:val="00526717"/>
    <w:rsid w:val="00533440"/>
    <w:rsid w:val="0053563A"/>
    <w:rsid w:val="00537CDE"/>
    <w:rsid w:val="00545ECC"/>
    <w:rsid w:val="00547279"/>
    <w:rsid w:val="00554A93"/>
    <w:rsid w:val="00561907"/>
    <w:rsid w:val="00565404"/>
    <w:rsid w:val="00567334"/>
    <w:rsid w:val="005772E7"/>
    <w:rsid w:val="00590943"/>
    <w:rsid w:val="005910AD"/>
    <w:rsid w:val="005A3EBE"/>
    <w:rsid w:val="005B09B1"/>
    <w:rsid w:val="005B2395"/>
    <w:rsid w:val="005B4B45"/>
    <w:rsid w:val="005B4C85"/>
    <w:rsid w:val="005C3F4A"/>
    <w:rsid w:val="005D13DA"/>
    <w:rsid w:val="005D4E5A"/>
    <w:rsid w:val="005E2396"/>
    <w:rsid w:val="005E47D9"/>
    <w:rsid w:val="005E4E2A"/>
    <w:rsid w:val="005F3AAF"/>
    <w:rsid w:val="005F6CD6"/>
    <w:rsid w:val="0060295F"/>
    <w:rsid w:val="006044AE"/>
    <w:rsid w:val="006045A0"/>
    <w:rsid w:val="00611C47"/>
    <w:rsid w:val="00612DFD"/>
    <w:rsid w:val="00621D24"/>
    <w:rsid w:val="00624A10"/>
    <w:rsid w:val="00624F66"/>
    <w:rsid w:val="0062798B"/>
    <w:rsid w:val="0063461F"/>
    <w:rsid w:val="00636DF8"/>
    <w:rsid w:val="00637501"/>
    <w:rsid w:val="00653789"/>
    <w:rsid w:val="00657B0E"/>
    <w:rsid w:val="0066420D"/>
    <w:rsid w:val="00665068"/>
    <w:rsid w:val="00667886"/>
    <w:rsid w:val="00673CBC"/>
    <w:rsid w:val="0068391C"/>
    <w:rsid w:val="00685BFA"/>
    <w:rsid w:val="0069263D"/>
    <w:rsid w:val="00696E54"/>
    <w:rsid w:val="00696F5E"/>
    <w:rsid w:val="006A01D9"/>
    <w:rsid w:val="006A0A68"/>
    <w:rsid w:val="006A174C"/>
    <w:rsid w:val="006A5F9B"/>
    <w:rsid w:val="006B09AB"/>
    <w:rsid w:val="006B34B1"/>
    <w:rsid w:val="006C04BA"/>
    <w:rsid w:val="006C3D9F"/>
    <w:rsid w:val="006D158B"/>
    <w:rsid w:val="006D333D"/>
    <w:rsid w:val="006D43E8"/>
    <w:rsid w:val="006D760B"/>
    <w:rsid w:val="006D7D1F"/>
    <w:rsid w:val="006D7DB5"/>
    <w:rsid w:val="006E3C20"/>
    <w:rsid w:val="006E3DAA"/>
    <w:rsid w:val="006E4AEF"/>
    <w:rsid w:val="006F0584"/>
    <w:rsid w:val="006F2776"/>
    <w:rsid w:val="006F59A3"/>
    <w:rsid w:val="006F7C4B"/>
    <w:rsid w:val="00707E4E"/>
    <w:rsid w:val="007128DD"/>
    <w:rsid w:val="00716980"/>
    <w:rsid w:val="00716986"/>
    <w:rsid w:val="00723F76"/>
    <w:rsid w:val="007240B9"/>
    <w:rsid w:val="00730B5D"/>
    <w:rsid w:val="007323C7"/>
    <w:rsid w:val="00733405"/>
    <w:rsid w:val="0075100A"/>
    <w:rsid w:val="00751B2F"/>
    <w:rsid w:val="0075794A"/>
    <w:rsid w:val="0076108A"/>
    <w:rsid w:val="0077506B"/>
    <w:rsid w:val="007770DC"/>
    <w:rsid w:val="0078479D"/>
    <w:rsid w:val="00791737"/>
    <w:rsid w:val="00796190"/>
    <w:rsid w:val="007A0C69"/>
    <w:rsid w:val="007A4A74"/>
    <w:rsid w:val="007B128C"/>
    <w:rsid w:val="007B3B75"/>
    <w:rsid w:val="007B5A0E"/>
    <w:rsid w:val="007B6CA8"/>
    <w:rsid w:val="007D612F"/>
    <w:rsid w:val="007D77AB"/>
    <w:rsid w:val="007E034C"/>
    <w:rsid w:val="007E1F61"/>
    <w:rsid w:val="007E23CE"/>
    <w:rsid w:val="007E3DD5"/>
    <w:rsid w:val="007E4145"/>
    <w:rsid w:val="007F5C1D"/>
    <w:rsid w:val="00800574"/>
    <w:rsid w:val="0080100B"/>
    <w:rsid w:val="0080538D"/>
    <w:rsid w:val="008139B4"/>
    <w:rsid w:val="00813F43"/>
    <w:rsid w:val="00817925"/>
    <w:rsid w:val="00830EC2"/>
    <w:rsid w:val="00831F3E"/>
    <w:rsid w:val="00857296"/>
    <w:rsid w:val="00871DBA"/>
    <w:rsid w:val="00872B29"/>
    <w:rsid w:val="00883F9A"/>
    <w:rsid w:val="00897A8D"/>
    <w:rsid w:val="008A4A71"/>
    <w:rsid w:val="008C548C"/>
    <w:rsid w:val="008D0E8A"/>
    <w:rsid w:val="008D1843"/>
    <w:rsid w:val="008D3E5C"/>
    <w:rsid w:val="008E3003"/>
    <w:rsid w:val="008E3D56"/>
    <w:rsid w:val="008E3F39"/>
    <w:rsid w:val="00916326"/>
    <w:rsid w:val="009324C9"/>
    <w:rsid w:val="0094166D"/>
    <w:rsid w:val="0095339E"/>
    <w:rsid w:val="00954943"/>
    <w:rsid w:val="0096370A"/>
    <w:rsid w:val="00963E8B"/>
    <w:rsid w:val="00972E7C"/>
    <w:rsid w:val="00985468"/>
    <w:rsid w:val="0098711B"/>
    <w:rsid w:val="00991583"/>
    <w:rsid w:val="0099353C"/>
    <w:rsid w:val="009A0E8D"/>
    <w:rsid w:val="009A4BF1"/>
    <w:rsid w:val="009A728F"/>
    <w:rsid w:val="009A7A45"/>
    <w:rsid w:val="009C27DB"/>
    <w:rsid w:val="009C281F"/>
    <w:rsid w:val="009C6108"/>
    <w:rsid w:val="009C688C"/>
    <w:rsid w:val="009D0CF5"/>
    <w:rsid w:val="009D16BA"/>
    <w:rsid w:val="009D543A"/>
    <w:rsid w:val="009E3236"/>
    <w:rsid w:val="009E485C"/>
    <w:rsid w:val="009E7DC7"/>
    <w:rsid w:val="009F4E1D"/>
    <w:rsid w:val="009F7AF4"/>
    <w:rsid w:val="00A00EFF"/>
    <w:rsid w:val="00A04C2B"/>
    <w:rsid w:val="00A11C36"/>
    <w:rsid w:val="00A12AFF"/>
    <w:rsid w:val="00A1486F"/>
    <w:rsid w:val="00A22BA1"/>
    <w:rsid w:val="00A243CA"/>
    <w:rsid w:val="00A30948"/>
    <w:rsid w:val="00A44DD0"/>
    <w:rsid w:val="00A47EAB"/>
    <w:rsid w:val="00A52C42"/>
    <w:rsid w:val="00A5460B"/>
    <w:rsid w:val="00A623BF"/>
    <w:rsid w:val="00A633E6"/>
    <w:rsid w:val="00A64395"/>
    <w:rsid w:val="00A67006"/>
    <w:rsid w:val="00A6769F"/>
    <w:rsid w:val="00A80FF9"/>
    <w:rsid w:val="00A87D33"/>
    <w:rsid w:val="00A90601"/>
    <w:rsid w:val="00A958D8"/>
    <w:rsid w:val="00AA5249"/>
    <w:rsid w:val="00AA72B2"/>
    <w:rsid w:val="00AB10D8"/>
    <w:rsid w:val="00AB2FD9"/>
    <w:rsid w:val="00AC7885"/>
    <w:rsid w:val="00AD7F7D"/>
    <w:rsid w:val="00AE2563"/>
    <w:rsid w:val="00B00CF3"/>
    <w:rsid w:val="00B122BE"/>
    <w:rsid w:val="00B12A93"/>
    <w:rsid w:val="00B150DA"/>
    <w:rsid w:val="00B16661"/>
    <w:rsid w:val="00B1764C"/>
    <w:rsid w:val="00B34054"/>
    <w:rsid w:val="00B43BF5"/>
    <w:rsid w:val="00B47620"/>
    <w:rsid w:val="00B545E1"/>
    <w:rsid w:val="00B55602"/>
    <w:rsid w:val="00B633D7"/>
    <w:rsid w:val="00B71F28"/>
    <w:rsid w:val="00B73468"/>
    <w:rsid w:val="00B87C82"/>
    <w:rsid w:val="00B95CD0"/>
    <w:rsid w:val="00B97D91"/>
    <w:rsid w:val="00BA0DEC"/>
    <w:rsid w:val="00BA3802"/>
    <w:rsid w:val="00BA722D"/>
    <w:rsid w:val="00BB1559"/>
    <w:rsid w:val="00BC4167"/>
    <w:rsid w:val="00BD67D4"/>
    <w:rsid w:val="00BF14CA"/>
    <w:rsid w:val="00BF467F"/>
    <w:rsid w:val="00BF5E22"/>
    <w:rsid w:val="00C12BB1"/>
    <w:rsid w:val="00C17E54"/>
    <w:rsid w:val="00C21BFF"/>
    <w:rsid w:val="00C24E08"/>
    <w:rsid w:val="00C25CFF"/>
    <w:rsid w:val="00C3447C"/>
    <w:rsid w:val="00C35F3E"/>
    <w:rsid w:val="00C41CCE"/>
    <w:rsid w:val="00C44B42"/>
    <w:rsid w:val="00C46B3F"/>
    <w:rsid w:val="00C5052D"/>
    <w:rsid w:val="00C514F4"/>
    <w:rsid w:val="00C54AB6"/>
    <w:rsid w:val="00C552B7"/>
    <w:rsid w:val="00C55507"/>
    <w:rsid w:val="00C613AA"/>
    <w:rsid w:val="00C6367C"/>
    <w:rsid w:val="00C638F9"/>
    <w:rsid w:val="00C708E2"/>
    <w:rsid w:val="00C7172E"/>
    <w:rsid w:val="00C9016A"/>
    <w:rsid w:val="00C937B5"/>
    <w:rsid w:val="00C94CA1"/>
    <w:rsid w:val="00CA1BE2"/>
    <w:rsid w:val="00CA5949"/>
    <w:rsid w:val="00CA624E"/>
    <w:rsid w:val="00CA79EF"/>
    <w:rsid w:val="00CB2CDB"/>
    <w:rsid w:val="00CB50B3"/>
    <w:rsid w:val="00CC1543"/>
    <w:rsid w:val="00CD2D3E"/>
    <w:rsid w:val="00CD3987"/>
    <w:rsid w:val="00CF0E3A"/>
    <w:rsid w:val="00CF3FD0"/>
    <w:rsid w:val="00D0232D"/>
    <w:rsid w:val="00D0441C"/>
    <w:rsid w:val="00D045B0"/>
    <w:rsid w:val="00D12014"/>
    <w:rsid w:val="00D133A1"/>
    <w:rsid w:val="00D14ED3"/>
    <w:rsid w:val="00D155D9"/>
    <w:rsid w:val="00D163BE"/>
    <w:rsid w:val="00D1654A"/>
    <w:rsid w:val="00D319C5"/>
    <w:rsid w:val="00D52F5F"/>
    <w:rsid w:val="00D53DF5"/>
    <w:rsid w:val="00D5717F"/>
    <w:rsid w:val="00D61EB3"/>
    <w:rsid w:val="00D76CE9"/>
    <w:rsid w:val="00D83C4C"/>
    <w:rsid w:val="00D85CE7"/>
    <w:rsid w:val="00D908BD"/>
    <w:rsid w:val="00D91885"/>
    <w:rsid w:val="00D97424"/>
    <w:rsid w:val="00DA0603"/>
    <w:rsid w:val="00DA16F2"/>
    <w:rsid w:val="00DB1EDD"/>
    <w:rsid w:val="00DB5114"/>
    <w:rsid w:val="00DC1DAD"/>
    <w:rsid w:val="00DC6F27"/>
    <w:rsid w:val="00DD4A19"/>
    <w:rsid w:val="00DD5B3B"/>
    <w:rsid w:val="00DD6925"/>
    <w:rsid w:val="00DE2BAF"/>
    <w:rsid w:val="00DE315E"/>
    <w:rsid w:val="00DF090D"/>
    <w:rsid w:val="00E04B16"/>
    <w:rsid w:val="00E069BD"/>
    <w:rsid w:val="00E06EDE"/>
    <w:rsid w:val="00E10999"/>
    <w:rsid w:val="00E11D87"/>
    <w:rsid w:val="00E13223"/>
    <w:rsid w:val="00E1643A"/>
    <w:rsid w:val="00E31863"/>
    <w:rsid w:val="00E34874"/>
    <w:rsid w:val="00E47E31"/>
    <w:rsid w:val="00E54E9A"/>
    <w:rsid w:val="00E661A4"/>
    <w:rsid w:val="00E72ACA"/>
    <w:rsid w:val="00E85EA1"/>
    <w:rsid w:val="00E966CD"/>
    <w:rsid w:val="00EA03A1"/>
    <w:rsid w:val="00EA2884"/>
    <w:rsid w:val="00EA6ED2"/>
    <w:rsid w:val="00EC0868"/>
    <w:rsid w:val="00ED4D5B"/>
    <w:rsid w:val="00ED5F99"/>
    <w:rsid w:val="00EE3F04"/>
    <w:rsid w:val="00EE5E28"/>
    <w:rsid w:val="00EE6C9A"/>
    <w:rsid w:val="00EE755E"/>
    <w:rsid w:val="00EF7705"/>
    <w:rsid w:val="00F02CD6"/>
    <w:rsid w:val="00F17CE7"/>
    <w:rsid w:val="00F201D1"/>
    <w:rsid w:val="00F34859"/>
    <w:rsid w:val="00F40AFB"/>
    <w:rsid w:val="00F41BD0"/>
    <w:rsid w:val="00F41D61"/>
    <w:rsid w:val="00F44CF7"/>
    <w:rsid w:val="00F56AFC"/>
    <w:rsid w:val="00F62C59"/>
    <w:rsid w:val="00F65385"/>
    <w:rsid w:val="00F65DD0"/>
    <w:rsid w:val="00F738FD"/>
    <w:rsid w:val="00F74A77"/>
    <w:rsid w:val="00F74EA5"/>
    <w:rsid w:val="00F80245"/>
    <w:rsid w:val="00F82A63"/>
    <w:rsid w:val="00F83CFB"/>
    <w:rsid w:val="00F84543"/>
    <w:rsid w:val="00F94189"/>
    <w:rsid w:val="00F949A0"/>
    <w:rsid w:val="00F95C5E"/>
    <w:rsid w:val="00FA4841"/>
    <w:rsid w:val="00FB69E4"/>
    <w:rsid w:val="00FC4F29"/>
    <w:rsid w:val="00FC5DAE"/>
    <w:rsid w:val="00FC6B0D"/>
    <w:rsid w:val="00FC7F90"/>
    <w:rsid w:val="00FD0A22"/>
    <w:rsid w:val="00FD0A9A"/>
    <w:rsid w:val="00FD39C9"/>
    <w:rsid w:val="00FF1799"/>
    <w:rsid w:val="00FF4840"/>
    <w:rsid w:val="00FF5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ADD0D"/>
  <w15:chartTrackingRefBased/>
  <w15:docId w15:val="{73195B93-13D3-4EF4-AF8A-03F1ECEF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6769F"/>
    <w:pPr>
      <w:keepNext/>
      <w:widowControl w:val="0"/>
      <w:numPr>
        <w:numId w:val="2"/>
      </w:numPr>
      <w:tabs>
        <w:tab w:val="left" w:pos="720"/>
        <w:tab w:val="left" w:pos="1440"/>
        <w:tab w:val="left" w:pos="2160"/>
        <w:tab w:val="right" w:pos="7200"/>
      </w:tabs>
      <w:spacing w:after="0"/>
      <w:jc w:val="left"/>
      <w:outlineLvl w:val="0"/>
    </w:pPr>
    <w:rPr>
      <w:rFonts w:ascii="Times New Roman" w:eastAsia="Times New Roman" w:hAnsi="Times New Roman" w:cs="Times New Roman"/>
      <w:sz w:val="24"/>
      <w:szCs w:val="20"/>
      <w:u w:val="single"/>
    </w:rPr>
  </w:style>
  <w:style w:type="paragraph" w:styleId="Heading7">
    <w:name w:val="heading 7"/>
    <w:basedOn w:val="Normal"/>
    <w:next w:val="Normal"/>
    <w:link w:val="Heading7Char"/>
    <w:uiPriority w:val="99"/>
    <w:qFormat/>
    <w:rsid w:val="00A6769F"/>
    <w:pPr>
      <w:keepNext/>
      <w:widowControl w:val="0"/>
      <w:tabs>
        <w:tab w:val="center" w:pos="4680"/>
      </w:tabs>
      <w:spacing w:after="0"/>
      <w:jc w:val="right"/>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769F"/>
    <w:pPr>
      <w:widowControl w:val="0"/>
      <w:tabs>
        <w:tab w:val="center" w:pos="4680"/>
        <w:tab w:val="right" w:pos="9360"/>
      </w:tabs>
      <w:spacing w:after="0"/>
      <w:jc w:val="left"/>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6769F"/>
    <w:rPr>
      <w:rFonts w:ascii="Times New Roman" w:eastAsia="Times New Roman" w:hAnsi="Times New Roman" w:cs="Times New Roman"/>
      <w:snapToGrid w:val="0"/>
      <w:sz w:val="24"/>
      <w:szCs w:val="20"/>
    </w:rPr>
  </w:style>
  <w:style w:type="table" w:styleId="TableGrid">
    <w:name w:val="Table Grid"/>
    <w:basedOn w:val="TableNormal"/>
    <w:uiPriority w:val="39"/>
    <w:rsid w:val="00A676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6769F"/>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uiPriority w:val="99"/>
    <w:rsid w:val="00A6769F"/>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A6769F"/>
    <w:pPr>
      <w:widowControl w:val="0"/>
      <w:tabs>
        <w:tab w:val="left" w:pos="720"/>
        <w:tab w:val="left" w:pos="1440"/>
        <w:tab w:val="left" w:pos="2160"/>
        <w:tab w:val="left" w:pos="2880"/>
        <w:tab w:val="left" w:pos="3600"/>
        <w:tab w:val="left" w:pos="4320"/>
        <w:tab w:val="left" w:pos="5040"/>
        <w:tab w:val="right" w:pos="7200"/>
      </w:tabs>
      <w:spacing w:after="0"/>
      <w:ind w:left="720"/>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A6769F"/>
    <w:rPr>
      <w:rFonts w:ascii="Times New Roman" w:eastAsia="Times New Roman" w:hAnsi="Times New Roman" w:cs="Times New Roman"/>
      <w:sz w:val="24"/>
      <w:szCs w:val="20"/>
    </w:rPr>
  </w:style>
  <w:style w:type="paragraph" w:styleId="Title">
    <w:name w:val="Title"/>
    <w:basedOn w:val="Normal"/>
    <w:link w:val="TitleChar"/>
    <w:uiPriority w:val="99"/>
    <w:qFormat/>
    <w:rsid w:val="00A6769F"/>
    <w:pPr>
      <w:spacing w:after="0"/>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A6769F"/>
    <w:rPr>
      <w:rFonts w:ascii="Times New Roman" w:eastAsia="Times New Roman" w:hAnsi="Times New Roman" w:cs="Times New Roman"/>
      <w:b/>
      <w:sz w:val="28"/>
      <w:szCs w:val="20"/>
    </w:rPr>
  </w:style>
  <w:style w:type="paragraph" w:styleId="BodyText">
    <w:name w:val="Body Text"/>
    <w:basedOn w:val="Normal"/>
    <w:link w:val="BodyTextChar"/>
    <w:uiPriority w:val="99"/>
    <w:rsid w:val="00A6769F"/>
    <w:pPr>
      <w:spacing w:after="0"/>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rsid w:val="00A6769F"/>
    <w:rPr>
      <w:rFonts w:ascii="Times New Roman" w:eastAsia="Times New Roman" w:hAnsi="Times New Roman" w:cs="Times New Roman"/>
      <w:b/>
      <w:sz w:val="24"/>
      <w:szCs w:val="20"/>
    </w:rPr>
  </w:style>
  <w:style w:type="paragraph" w:styleId="ListParagraph">
    <w:name w:val="List Paragraph"/>
    <w:basedOn w:val="Normal"/>
    <w:uiPriority w:val="34"/>
    <w:qFormat/>
    <w:rsid w:val="00A6769F"/>
    <w:pPr>
      <w:widowControl w:val="0"/>
      <w:spacing w:after="0"/>
      <w:ind w:left="720"/>
      <w:contextualSpacing/>
      <w:jc w:val="left"/>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A6769F"/>
    <w:rPr>
      <w:color w:val="0000FF"/>
      <w:u w:val="single"/>
    </w:rPr>
  </w:style>
  <w:style w:type="character" w:styleId="CommentReference">
    <w:name w:val="annotation reference"/>
    <w:basedOn w:val="DefaultParagraphFont"/>
    <w:uiPriority w:val="99"/>
    <w:semiHidden/>
    <w:unhideWhenUsed/>
    <w:rsid w:val="00A6769F"/>
    <w:rPr>
      <w:sz w:val="16"/>
      <w:szCs w:val="16"/>
    </w:rPr>
  </w:style>
  <w:style w:type="paragraph" w:styleId="CommentText">
    <w:name w:val="annotation text"/>
    <w:basedOn w:val="Normal"/>
    <w:link w:val="CommentTextChar"/>
    <w:uiPriority w:val="99"/>
    <w:semiHidden/>
    <w:unhideWhenUsed/>
    <w:rsid w:val="00A6769F"/>
    <w:pPr>
      <w:widowControl w:val="0"/>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676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76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43CA"/>
    <w:pPr>
      <w:widowControl/>
      <w:spacing w:after="160"/>
      <w:jc w:val="center"/>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43C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E315E"/>
    <w:pPr>
      <w:tabs>
        <w:tab w:val="center" w:pos="4680"/>
        <w:tab w:val="right" w:pos="9360"/>
      </w:tabs>
      <w:spacing w:after="0"/>
    </w:pPr>
  </w:style>
  <w:style w:type="character" w:customStyle="1" w:styleId="HeaderChar">
    <w:name w:val="Header Char"/>
    <w:basedOn w:val="DefaultParagraphFont"/>
    <w:link w:val="Header"/>
    <w:uiPriority w:val="99"/>
    <w:rsid w:val="00DE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4315">
      <w:bodyDiv w:val="1"/>
      <w:marLeft w:val="0"/>
      <w:marRight w:val="0"/>
      <w:marTop w:val="0"/>
      <w:marBottom w:val="0"/>
      <w:divBdr>
        <w:top w:val="none" w:sz="0" w:space="0" w:color="auto"/>
        <w:left w:val="none" w:sz="0" w:space="0" w:color="auto"/>
        <w:bottom w:val="none" w:sz="0" w:space="0" w:color="auto"/>
        <w:right w:val="none" w:sz="0" w:space="0" w:color="auto"/>
      </w:divBdr>
    </w:div>
    <w:div w:id="338234237">
      <w:bodyDiv w:val="1"/>
      <w:marLeft w:val="0"/>
      <w:marRight w:val="0"/>
      <w:marTop w:val="0"/>
      <w:marBottom w:val="0"/>
      <w:divBdr>
        <w:top w:val="none" w:sz="0" w:space="0" w:color="auto"/>
        <w:left w:val="none" w:sz="0" w:space="0" w:color="auto"/>
        <w:bottom w:val="none" w:sz="0" w:space="0" w:color="auto"/>
        <w:right w:val="none" w:sz="0" w:space="0" w:color="auto"/>
      </w:divBdr>
    </w:div>
    <w:div w:id="547913491">
      <w:bodyDiv w:val="1"/>
      <w:marLeft w:val="0"/>
      <w:marRight w:val="0"/>
      <w:marTop w:val="0"/>
      <w:marBottom w:val="0"/>
      <w:divBdr>
        <w:top w:val="none" w:sz="0" w:space="0" w:color="auto"/>
        <w:left w:val="none" w:sz="0" w:space="0" w:color="auto"/>
        <w:bottom w:val="none" w:sz="0" w:space="0" w:color="auto"/>
        <w:right w:val="none" w:sz="0" w:space="0" w:color="auto"/>
      </w:divBdr>
    </w:div>
    <w:div w:id="1459953242">
      <w:bodyDiv w:val="1"/>
      <w:marLeft w:val="0"/>
      <w:marRight w:val="0"/>
      <w:marTop w:val="0"/>
      <w:marBottom w:val="0"/>
      <w:divBdr>
        <w:top w:val="none" w:sz="0" w:space="0" w:color="auto"/>
        <w:left w:val="none" w:sz="0" w:space="0" w:color="auto"/>
        <w:bottom w:val="none" w:sz="0" w:space="0" w:color="auto"/>
        <w:right w:val="none" w:sz="0" w:space="0" w:color="auto"/>
      </w:divBdr>
    </w:div>
    <w:div w:id="1565608299">
      <w:bodyDiv w:val="1"/>
      <w:marLeft w:val="0"/>
      <w:marRight w:val="0"/>
      <w:marTop w:val="0"/>
      <w:marBottom w:val="0"/>
      <w:divBdr>
        <w:top w:val="none" w:sz="0" w:space="0" w:color="auto"/>
        <w:left w:val="none" w:sz="0" w:space="0" w:color="auto"/>
        <w:bottom w:val="none" w:sz="0" w:space="0" w:color="auto"/>
        <w:right w:val="none" w:sz="0" w:space="0" w:color="auto"/>
      </w:divBdr>
    </w:div>
    <w:div w:id="1780755689">
      <w:bodyDiv w:val="1"/>
      <w:marLeft w:val="0"/>
      <w:marRight w:val="0"/>
      <w:marTop w:val="0"/>
      <w:marBottom w:val="0"/>
      <w:divBdr>
        <w:top w:val="none" w:sz="0" w:space="0" w:color="auto"/>
        <w:left w:val="none" w:sz="0" w:space="0" w:color="auto"/>
        <w:bottom w:val="none" w:sz="0" w:space="0" w:color="auto"/>
        <w:right w:val="none" w:sz="0" w:space="0" w:color="auto"/>
      </w:divBdr>
    </w:div>
    <w:div w:id="1829133798">
      <w:bodyDiv w:val="1"/>
      <w:marLeft w:val="0"/>
      <w:marRight w:val="0"/>
      <w:marTop w:val="0"/>
      <w:marBottom w:val="0"/>
      <w:divBdr>
        <w:top w:val="none" w:sz="0" w:space="0" w:color="auto"/>
        <w:left w:val="none" w:sz="0" w:space="0" w:color="auto"/>
        <w:bottom w:val="none" w:sz="0" w:space="0" w:color="auto"/>
        <w:right w:val="none" w:sz="0" w:space="0" w:color="auto"/>
      </w:divBdr>
    </w:div>
    <w:div w:id="1844392245">
      <w:bodyDiv w:val="1"/>
      <w:marLeft w:val="0"/>
      <w:marRight w:val="0"/>
      <w:marTop w:val="0"/>
      <w:marBottom w:val="0"/>
      <w:divBdr>
        <w:top w:val="none" w:sz="0" w:space="0" w:color="auto"/>
        <w:left w:val="none" w:sz="0" w:space="0" w:color="auto"/>
        <w:bottom w:val="none" w:sz="0" w:space="0" w:color="auto"/>
        <w:right w:val="none" w:sz="0" w:space="0" w:color="auto"/>
      </w:divBdr>
    </w:div>
    <w:div w:id="1935357005">
      <w:bodyDiv w:val="1"/>
      <w:marLeft w:val="0"/>
      <w:marRight w:val="0"/>
      <w:marTop w:val="0"/>
      <w:marBottom w:val="0"/>
      <w:divBdr>
        <w:top w:val="none" w:sz="0" w:space="0" w:color="auto"/>
        <w:left w:val="none" w:sz="0" w:space="0" w:color="auto"/>
        <w:bottom w:val="none" w:sz="0" w:space="0" w:color="auto"/>
        <w:right w:val="none" w:sz="0" w:space="0" w:color="auto"/>
      </w:divBdr>
    </w:div>
    <w:div w:id="19658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13publ4/pdf/PLAW-113publ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hud.gov/hudportal/documents/huddoc?id=935-2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pn.gov/ccr/default.aspx" TargetMode="External"/><Relationship Id="rId4" Type="http://schemas.openxmlformats.org/officeDocument/2006/relationships/settings" Target="settings.xml"/><Relationship Id="rId9" Type="http://schemas.openxmlformats.org/officeDocument/2006/relationships/hyperlink" Target="https://eupdate.dnb.com/requestoption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9CCC-8F53-498B-8289-365D66F4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7168</Words>
  <Characters>40859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Peoples, Kathy</dc:creator>
  <cp:keywords/>
  <dc:description/>
  <cp:lastModifiedBy>Shook, Anna</cp:lastModifiedBy>
  <cp:revision>3</cp:revision>
  <cp:lastPrinted>2019-05-22T21:11:00Z</cp:lastPrinted>
  <dcterms:created xsi:type="dcterms:W3CDTF">2021-06-09T06:04:00Z</dcterms:created>
  <dcterms:modified xsi:type="dcterms:W3CDTF">2021-06-24T23:03:00Z</dcterms:modified>
</cp:coreProperties>
</file>