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A9880" w14:textId="237F804E" w:rsidR="00CF2485" w:rsidRDefault="007A26B8" w:rsidP="00B548C8">
      <w:pPr>
        <w:tabs>
          <w:tab w:val="right" w:pos="9350"/>
        </w:tabs>
        <w:rPr>
          <w:b/>
          <w:i/>
          <w:color w:val="FF0000"/>
        </w:rPr>
      </w:pPr>
      <w:r>
        <w:rPr>
          <w:b/>
          <w:color w:val="FF0000"/>
        </w:rPr>
        <w:t>SP</w:t>
      </w:r>
      <w:r w:rsidR="00890840">
        <w:rPr>
          <w:b/>
          <w:color w:val="FF0000"/>
        </w:rPr>
        <w:t>P</w:t>
      </w:r>
      <w:r w:rsidR="00FB6D1B">
        <w:rPr>
          <w:b/>
          <w:color w:val="FF0000"/>
        </w:rPr>
        <w:t>00</w:t>
      </w:r>
      <w:r>
        <w:rPr>
          <w:b/>
          <w:color w:val="FF0000"/>
        </w:rPr>
        <w:t xml:space="preserve">759 </w:t>
      </w:r>
      <w:r w:rsidR="00310F63">
        <w:rPr>
          <w:b/>
          <w:color w:val="FF0000"/>
        </w:rPr>
        <w:t>(</w:t>
      </w:r>
      <w:r w:rsidR="00E7242E">
        <w:rPr>
          <w:b/>
          <w:color w:val="FF0000"/>
        </w:rPr>
        <w:t>01-01-21</w:t>
      </w:r>
      <w:r w:rsidR="00EB42F3">
        <w:rPr>
          <w:b/>
          <w:color w:val="FF0000"/>
        </w:rPr>
        <w:t>)</w:t>
      </w:r>
      <w:r w:rsidR="00CF2485">
        <w:rPr>
          <w:b/>
          <w:color w:val="FF0000"/>
        </w:rPr>
        <w:tab/>
      </w:r>
      <w:r w:rsidR="00CF2485">
        <w:rPr>
          <w:b/>
          <w:i/>
          <w:color w:val="FF0000"/>
        </w:rPr>
        <w:t xml:space="preserve">(This </w:t>
      </w:r>
      <w:r w:rsidR="00FB6D1B">
        <w:rPr>
          <w:b/>
          <w:i/>
          <w:color w:val="FF0000"/>
        </w:rPr>
        <w:t>s</w:t>
      </w:r>
      <w:r w:rsidR="00CF2485">
        <w:rPr>
          <w:b/>
          <w:i/>
          <w:color w:val="FF0000"/>
        </w:rPr>
        <w:t>ection requires SP</w:t>
      </w:r>
      <w:r w:rsidR="00FB6D1B">
        <w:rPr>
          <w:b/>
          <w:i/>
          <w:color w:val="FF0000"/>
        </w:rPr>
        <w:t>00</w:t>
      </w:r>
      <w:r w:rsidR="00CF2485">
        <w:rPr>
          <w:b/>
          <w:i/>
          <w:color w:val="FF0000"/>
        </w:rPr>
        <w:t>440.)</w:t>
      </w:r>
    </w:p>
    <w:p w14:paraId="70291960" w14:textId="77777777" w:rsidR="00CF2485" w:rsidRDefault="00CF2485"/>
    <w:p w14:paraId="73BF5E86" w14:textId="77777777" w:rsidR="00EB42F3" w:rsidRDefault="00EB42F3" w:rsidP="00EB42F3">
      <w:pPr>
        <w:ind w:left="360"/>
        <w:rPr>
          <w:b/>
          <w:i/>
          <w:color w:val="FF0000"/>
        </w:rPr>
      </w:pPr>
      <w:r>
        <w:rPr>
          <w:b/>
          <w:i/>
          <w:color w:val="FF0000"/>
        </w:rPr>
        <w:t>(Follow all instructions.  If there are no instructions above a subsection, paragraph, sentence or bullet, then include them in the project but make necessary modifications to only include project specific specifications.  Delete specifications that do not apply to the project.  Remove all instructions before preparing the final document.)</w:t>
      </w:r>
    </w:p>
    <w:p w14:paraId="0F9A3531" w14:textId="77777777" w:rsidR="00794E36" w:rsidRDefault="00794E36"/>
    <w:p w14:paraId="29F74BAE" w14:textId="77777777" w:rsidR="00EB42F3" w:rsidRPr="00EB42F3" w:rsidRDefault="00DF7AB7" w:rsidP="00EB42F3">
      <w:pPr>
        <w:ind w:left="360"/>
        <w:rPr>
          <w:b/>
          <w:i/>
          <w:color w:val="FF0000"/>
        </w:rPr>
      </w:pPr>
      <w:r>
        <w:rPr>
          <w:b/>
          <w:i/>
          <w:color w:val="FF0000"/>
        </w:rPr>
        <w:t xml:space="preserve">(Note to Spec Writer: </w:t>
      </w:r>
      <w:r w:rsidR="00EB42F3">
        <w:rPr>
          <w:b/>
          <w:i/>
          <w:color w:val="FF0000"/>
        </w:rPr>
        <w:t>No other color than yellow for the truncated domes may be used without approval</w:t>
      </w:r>
      <w:r>
        <w:rPr>
          <w:b/>
          <w:i/>
          <w:color w:val="FF0000"/>
        </w:rPr>
        <w:t xml:space="preserve"> by the City Engineer</w:t>
      </w:r>
      <w:r w:rsidR="00EB42F3" w:rsidRPr="00FD3386">
        <w:rPr>
          <w:b/>
          <w:i/>
          <w:color w:val="FF0000"/>
        </w:rPr>
        <w:t xml:space="preserve">.  </w:t>
      </w:r>
      <w:r w:rsidR="00EB42F3">
        <w:rPr>
          <w:b/>
          <w:i/>
          <w:color w:val="FF0000"/>
        </w:rPr>
        <w:t>White may be approved if a maintenance agreement is in place to keep the truncated domes cl</w:t>
      </w:r>
      <w:r>
        <w:rPr>
          <w:b/>
          <w:i/>
          <w:color w:val="FF0000"/>
        </w:rPr>
        <w:t>ean, such as the Transit Mall.</w:t>
      </w:r>
      <w:r w:rsidR="00EB42F3" w:rsidRPr="00FD3386">
        <w:rPr>
          <w:b/>
          <w:i/>
          <w:color w:val="FF0000"/>
        </w:rPr>
        <w:t>)</w:t>
      </w:r>
    </w:p>
    <w:p w14:paraId="0F1F1281" w14:textId="10CFE198" w:rsidR="00EB42F3" w:rsidRDefault="00EB42F3"/>
    <w:p w14:paraId="120E36F3" w14:textId="77777777" w:rsidR="00B754B3" w:rsidRDefault="00B754B3"/>
    <w:p w14:paraId="6BC1642C" w14:textId="77777777" w:rsidR="00BC7BC8" w:rsidRDefault="00BC7BC8" w:rsidP="00BC7BC8">
      <w:pPr>
        <w:pStyle w:val="Heading3"/>
        <w:rPr>
          <w:b/>
          <w:bCs/>
        </w:rPr>
      </w:pPr>
      <w:r>
        <w:rPr>
          <w:b/>
          <w:bCs/>
        </w:rPr>
        <w:t>Section 00759 - Miscellaneous Portland Cement Concrete Structures</w:t>
      </w:r>
      <w:r>
        <w:rPr>
          <w:b/>
          <w:bCs/>
        </w:rPr>
        <w:fldChar w:fldCharType="begin"/>
      </w:r>
      <w:r>
        <w:rPr>
          <w:b/>
          <w:bCs/>
        </w:rPr>
        <w:instrText>TC "Section 00759 - Miscellaneous Portland Cement Concrete Structures" \F C \L "2"</w:instrText>
      </w:r>
      <w:r>
        <w:rPr>
          <w:b/>
          <w:bCs/>
        </w:rPr>
        <w:fldChar w:fldCharType="end"/>
      </w:r>
    </w:p>
    <w:p w14:paraId="02436AB7" w14:textId="77777777" w:rsidR="00CF2485" w:rsidRDefault="00CF2485" w:rsidP="00BC7BC8">
      <w:pPr>
        <w:jc w:val="center"/>
      </w:pPr>
    </w:p>
    <w:p w14:paraId="6F619F8E" w14:textId="1FE0609E" w:rsidR="00CF2485" w:rsidRDefault="00CF2485">
      <w:r>
        <w:t xml:space="preserve">Comply with </w:t>
      </w:r>
      <w:r w:rsidR="00FB6D1B">
        <w:t>s</w:t>
      </w:r>
      <w:r>
        <w:t xml:space="preserve">ection 00759 of the Standard </w:t>
      </w:r>
      <w:r w:rsidR="00FB6D1B">
        <w:t xml:space="preserve">Construction </w:t>
      </w:r>
      <w:r>
        <w:t>Specifications modified as follows:</w:t>
      </w:r>
    </w:p>
    <w:p w14:paraId="0F3309D2" w14:textId="77777777" w:rsidR="00CF2485" w:rsidRDefault="00CF2485"/>
    <w:p w14:paraId="340C71D1" w14:textId="77777777" w:rsidR="00CF2485" w:rsidRDefault="00CF2485">
      <w:pPr>
        <w:ind w:left="360"/>
        <w:rPr>
          <w:b/>
          <w:i/>
          <w:color w:val="FF0000"/>
        </w:rPr>
      </w:pPr>
      <w:r>
        <w:rPr>
          <w:b/>
          <w:i/>
          <w:color w:val="FF0000"/>
        </w:rPr>
        <w:t>(Use the following subsection .00 on projects that retrofit existing sidewalks or existing sidewalk ramps with new sidewalk ramps.  Do not use on projects that have other new sidewalk construction.)</w:t>
      </w:r>
    </w:p>
    <w:p w14:paraId="5C771F10" w14:textId="77777777" w:rsidR="00CF2485" w:rsidRDefault="00CF2485"/>
    <w:p w14:paraId="60EF953B" w14:textId="534FFB54" w:rsidR="00CF2485" w:rsidRDefault="00CF2485">
      <w:r>
        <w:rPr>
          <w:b/>
        </w:rPr>
        <w:t>00759.00</w:t>
      </w:r>
      <w:r>
        <w:rPr>
          <w:b/>
        </w:rPr>
        <w:tab/>
        <w:t>Scope</w:t>
      </w:r>
      <w:r w:rsidR="00B754B3">
        <w:rPr>
          <w:b/>
        </w:rPr>
        <w:t xml:space="preserve"> </w:t>
      </w:r>
      <w:r>
        <w:t>-Add the following:</w:t>
      </w:r>
    </w:p>
    <w:p w14:paraId="623CF244" w14:textId="77777777" w:rsidR="00CF2485" w:rsidRDefault="00CF2485" w:rsidP="00B754B3"/>
    <w:p w14:paraId="572701E1" w14:textId="149EB76E" w:rsidR="00CF2485" w:rsidRDefault="00CF2485" w:rsidP="00B754B3">
      <w:r>
        <w:t xml:space="preserve">This work </w:t>
      </w:r>
      <w:r w:rsidR="00647067">
        <w:t>includes</w:t>
      </w:r>
      <w:r>
        <w:t xml:space="preserve"> removing existing concrete walks and </w:t>
      </w:r>
      <w:r w:rsidR="00B754B3">
        <w:t>curbs and</w:t>
      </w:r>
      <w:r>
        <w:t xml:space="preserve"> constructing new </w:t>
      </w:r>
      <w:r w:rsidR="00A84F8A">
        <w:t>commercial grade</w:t>
      </w:r>
      <w:r>
        <w:t xml:space="preserve"> concrete sidewalk ramps with curbs.</w:t>
      </w:r>
    </w:p>
    <w:p w14:paraId="0E7FF327" w14:textId="77777777" w:rsidR="00FD3386" w:rsidRDefault="00FD3386" w:rsidP="00B754B3">
      <w:pPr>
        <w:rPr>
          <w:color w:val="000000"/>
        </w:rPr>
      </w:pPr>
    </w:p>
    <w:p w14:paraId="5D9FCD8C" w14:textId="7D32108D" w:rsidR="007F07E8" w:rsidRDefault="007F07E8" w:rsidP="007F07E8">
      <w:pPr>
        <w:ind w:left="360"/>
        <w:rPr>
          <w:b/>
          <w:i/>
          <w:color w:val="FF0000"/>
        </w:rPr>
      </w:pPr>
      <w:r>
        <w:rPr>
          <w:b/>
          <w:i/>
          <w:color w:val="FF0000"/>
        </w:rPr>
        <w:t xml:space="preserve">(Use on BES Projects.  Use the following except for installations against buildings and structures like </w:t>
      </w:r>
      <w:r w:rsidR="00B754B3">
        <w:rPr>
          <w:b/>
          <w:i/>
          <w:color w:val="FF0000"/>
        </w:rPr>
        <w:t>pole footings</w:t>
      </w:r>
      <w:r>
        <w:rPr>
          <w:b/>
          <w:i/>
          <w:color w:val="FF0000"/>
        </w:rPr>
        <w:t>, driveways, sidewalk corners or other locations to make future removal easier.  Consider options for installations involving water quality facilities.)</w:t>
      </w:r>
    </w:p>
    <w:p w14:paraId="569D5E68" w14:textId="77777777" w:rsidR="007F07E8" w:rsidRDefault="007F07E8" w:rsidP="007F07E8"/>
    <w:p w14:paraId="6E3BA0DB" w14:textId="34BDF097" w:rsidR="007F07E8" w:rsidRDefault="007F07E8" w:rsidP="007F07E8">
      <w:r>
        <w:rPr>
          <w:b/>
        </w:rPr>
        <w:t>00759.44</w:t>
      </w:r>
      <w:r>
        <w:rPr>
          <w:b/>
        </w:rPr>
        <w:tab/>
        <w:t xml:space="preserve">Joining </w:t>
      </w:r>
      <w:r w:rsidR="00C17E90">
        <w:rPr>
          <w:b/>
        </w:rPr>
        <w:t>N</w:t>
      </w:r>
      <w:r>
        <w:rPr>
          <w:b/>
        </w:rPr>
        <w:t xml:space="preserve">ew to Existing Concrete </w:t>
      </w:r>
      <w:r>
        <w:t>-</w:t>
      </w:r>
      <w:r w:rsidR="00B754B3">
        <w:t xml:space="preserve"> </w:t>
      </w:r>
      <w:r>
        <w:t>Replace the last sentence with the following:</w:t>
      </w:r>
    </w:p>
    <w:p w14:paraId="0096F30A" w14:textId="77777777" w:rsidR="007F07E8" w:rsidRDefault="007F07E8" w:rsidP="000C111D"/>
    <w:p w14:paraId="390A4F60" w14:textId="2206F669" w:rsidR="00A91534" w:rsidRPr="00146BC7" w:rsidRDefault="007F07E8" w:rsidP="000C111D">
      <w:r>
        <w:t xml:space="preserve">Unless otherwise shown or directed, use </w:t>
      </w:r>
      <w:r w:rsidR="00442F88">
        <w:t>c</w:t>
      </w:r>
      <w:r>
        <w:t xml:space="preserve">ontraction </w:t>
      </w:r>
      <w:r w:rsidR="00442F88">
        <w:t>j</w:t>
      </w:r>
      <w:r>
        <w:t xml:space="preserve">oints according to </w:t>
      </w:r>
      <w:r w:rsidR="0001246B">
        <w:t xml:space="preserve">section </w:t>
      </w:r>
      <w:r>
        <w:t>00759.49.</w:t>
      </w:r>
      <w:r w:rsidR="00155C84">
        <w:t>for abutting flat work.  Furnish and install minimum ½-inch thick pre-formed expansion joint filler between new work and existing retaining walls, stairs, or footings.</w:t>
      </w:r>
    </w:p>
    <w:p w14:paraId="28FEAB9A" w14:textId="731CE4C0" w:rsidR="00B46D42" w:rsidRDefault="00B46D42" w:rsidP="000C111D">
      <w:pPr>
        <w:rPr>
          <w:rFonts w:eastAsiaTheme="minorHAnsi" w:cs="Arial"/>
          <w:szCs w:val="22"/>
        </w:rPr>
      </w:pPr>
    </w:p>
    <w:p w14:paraId="109A263F" w14:textId="04B1F9AC" w:rsidR="00B46D42" w:rsidRPr="00B46D42" w:rsidRDefault="00B46D42" w:rsidP="000C111D">
      <w:pPr>
        <w:spacing w:after="160" w:line="259" w:lineRule="auto"/>
        <w:rPr>
          <w:rFonts w:eastAsiaTheme="minorHAnsi" w:cs="Arial"/>
          <w:szCs w:val="22"/>
        </w:rPr>
      </w:pPr>
      <w:r w:rsidRPr="00B46D42">
        <w:rPr>
          <w:rFonts w:eastAsiaTheme="minorHAnsi" w:cs="Arial"/>
          <w:b/>
          <w:szCs w:val="22"/>
        </w:rPr>
        <w:t>00759.50</w:t>
      </w:r>
      <w:r w:rsidRPr="00B46D42">
        <w:rPr>
          <w:rFonts w:eastAsiaTheme="minorHAnsi" w:cs="Arial"/>
          <w:b/>
          <w:szCs w:val="22"/>
        </w:rPr>
        <w:tab/>
      </w:r>
      <w:r w:rsidR="003E09DB">
        <w:rPr>
          <w:rFonts w:eastAsiaTheme="minorHAnsi" w:cs="Arial"/>
          <w:b/>
          <w:szCs w:val="22"/>
        </w:rPr>
        <w:t>Surface Finishing</w:t>
      </w:r>
      <w:r w:rsidRPr="00B46D42">
        <w:rPr>
          <w:rFonts w:eastAsiaTheme="minorHAnsi" w:cs="Arial"/>
          <w:szCs w:val="22"/>
        </w:rPr>
        <w:t xml:space="preserve"> – Add the following</w:t>
      </w:r>
      <w:r w:rsidR="009C4FFA">
        <w:rPr>
          <w:rFonts w:eastAsiaTheme="minorHAnsi" w:cs="Arial"/>
          <w:szCs w:val="22"/>
        </w:rPr>
        <w:t xml:space="preserve"> to the end of subsection 759.50(a)</w:t>
      </w:r>
      <w:r w:rsidR="00CA63C2">
        <w:rPr>
          <w:rFonts w:eastAsiaTheme="minorHAnsi" w:cs="Arial"/>
          <w:szCs w:val="22"/>
        </w:rPr>
        <w:t xml:space="preserve"> General</w:t>
      </w:r>
      <w:r w:rsidRPr="00B46D42">
        <w:rPr>
          <w:rFonts w:eastAsiaTheme="minorHAnsi" w:cs="Arial"/>
          <w:szCs w:val="22"/>
        </w:rPr>
        <w:t>:</w:t>
      </w:r>
    </w:p>
    <w:p w14:paraId="6B60194B" w14:textId="24693FB0" w:rsidR="00B46D42" w:rsidRPr="007F07E8" w:rsidRDefault="00B46D42" w:rsidP="000C111D">
      <w:r w:rsidRPr="00B46D42">
        <w:rPr>
          <w:rFonts w:eastAsiaTheme="minorHAnsi" w:cs="Arial"/>
          <w:szCs w:val="22"/>
        </w:rPr>
        <w:t xml:space="preserve">Score concrete into squares or other shapes to match markings on similar existing surfaces in the vicinity, as shown on scoring plan.  Unless otherwise specified, score concrete with a “dummy joint” with a ¼” edge radius and joint width of ⅛” to ¼” to a depth of ⅜” minimum.  </w:t>
      </w:r>
    </w:p>
    <w:p w14:paraId="40B2ADD2" w14:textId="77777777" w:rsidR="007841FC" w:rsidRPr="005F7969" w:rsidRDefault="007841FC" w:rsidP="005762E2">
      <w:pPr>
        <w:rPr>
          <w:b/>
          <w:bCs/>
          <w:i/>
          <w:iCs/>
        </w:rPr>
      </w:pPr>
    </w:p>
    <w:p w14:paraId="21C3394B" w14:textId="085FF44E" w:rsidR="007841FC" w:rsidRDefault="007841FC" w:rsidP="007841FC">
      <w:pPr>
        <w:rPr>
          <w:b/>
        </w:rPr>
      </w:pPr>
      <w:r w:rsidRPr="00EB42F3">
        <w:rPr>
          <w:b/>
          <w:bCs/>
          <w:i/>
          <w:iCs/>
          <w:color w:val="FF0000"/>
        </w:rPr>
        <w:t xml:space="preserve">(Use the following subsection </w:t>
      </w:r>
      <w:r>
        <w:rPr>
          <w:b/>
          <w:bCs/>
          <w:i/>
          <w:iCs/>
          <w:color w:val="FF0000"/>
        </w:rPr>
        <w:t xml:space="preserve">ONLY when following ODOT practices of measuring the face of curb in the area </w:t>
      </w:r>
      <w:r w:rsidR="00B754B3">
        <w:rPr>
          <w:b/>
          <w:bCs/>
          <w:i/>
          <w:iCs/>
          <w:color w:val="FF0000"/>
        </w:rPr>
        <w:t>basis and</w:t>
      </w:r>
      <w:r>
        <w:rPr>
          <w:b/>
          <w:bCs/>
          <w:i/>
          <w:iCs/>
          <w:color w:val="FF0000"/>
        </w:rPr>
        <w:t xml:space="preserve"> have ODOT Standard Dwg RD720 – Sidewalks in your contract documents.  Note: most City projects should just measure horizontal neat lines per PBOT Standard Dwg. P-551, Sidewalks)</w:t>
      </w:r>
      <w:r w:rsidRPr="00EB42F3">
        <w:rPr>
          <w:b/>
          <w:bCs/>
          <w:i/>
          <w:iCs/>
          <w:color w:val="FF0000"/>
        </w:rPr>
        <w:t xml:space="preserve">. </w:t>
      </w:r>
    </w:p>
    <w:p w14:paraId="5979AA37" w14:textId="77777777" w:rsidR="007841FC" w:rsidRDefault="007841FC" w:rsidP="00E52ADD">
      <w:pPr>
        <w:tabs>
          <w:tab w:val="left" w:pos="1530"/>
        </w:tabs>
        <w:rPr>
          <w:b/>
        </w:rPr>
      </w:pPr>
    </w:p>
    <w:p w14:paraId="1D63FA0D" w14:textId="1D38C903" w:rsidR="00EC7D85" w:rsidRDefault="007841FC" w:rsidP="00A91534">
      <w:r>
        <w:rPr>
          <w:b/>
        </w:rPr>
        <w:t xml:space="preserve">00759.80 </w:t>
      </w:r>
      <w:r>
        <w:rPr>
          <w:b/>
        </w:rPr>
        <w:tab/>
      </w:r>
      <w:r w:rsidR="00EB42F3">
        <w:rPr>
          <w:b/>
        </w:rPr>
        <w:t>Measuremen</w:t>
      </w:r>
      <w:r w:rsidR="00A91534">
        <w:rPr>
          <w:b/>
        </w:rPr>
        <w:t xml:space="preserve">t </w:t>
      </w:r>
      <w:r w:rsidR="00A91534" w:rsidRPr="005762E2">
        <w:t>– R</w:t>
      </w:r>
      <w:r w:rsidR="00EC7D85">
        <w:t xml:space="preserve">eplace the </w:t>
      </w:r>
      <w:r w:rsidR="00B754B3" w:rsidRPr="00B754B3">
        <w:rPr>
          <w:b/>
          <w:bCs/>
        </w:rPr>
        <w:t>(b)</w:t>
      </w:r>
      <w:r w:rsidR="00B754B3">
        <w:t xml:space="preserve"> </w:t>
      </w:r>
      <w:r w:rsidR="00A91534" w:rsidRPr="005762E2">
        <w:rPr>
          <w:b/>
        </w:rPr>
        <w:t>Area Basis</w:t>
      </w:r>
      <w:r w:rsidR="00EC7D85">
        <w:t xml:space="preserve"> with the following:</w:t>
      </w:r>
    </w:p>
    <w:p w14:paraId="1F7C77C0" w14:textId="77777777" w:rsidR="00EC7D85" w:rsidRDefault="00EC7D85" w:rsidP="00EC7D85"/>
    <w:p w14:paraId="050ACEFB" w14:textId="15977CEE" w:rsidR="00EC7D85" w:rsidRDefault="00EC7D85" w:rsidP="00A127B6">
      <w:pPr>
        <w:pStyle w:val="Bullet1"/>
        <w:numPr>
          <w:ilvl w:val="0"/>
          <w:numId w:val="8"/>
        </w:numPr>
      </w:pPr>
      <w:r w:rsidRPr="00FA2BBA">
        <w:rPr>
          <w:b/>
        </w:rPr>
        <w:lastRenderedPageBreak/>
        <w:t>Area Basis</w:t>
      </w:r>
      <w:r w:rsidR="00B754B3">
        <w:t xml:space="preserve"> </w:t>
      </w:r>
      <w:r>
        <w:t>-</w:t>
      </w:r>
      <w:r w:rsidR="00B754B3">
        <w:t xml:space="preserve"> </w:t>
      </w:r>
      <w:r>
        <w:t xml:space="preserve">Measurement will be limited to the neat lines of the structure.  Monolithic curb and sidewalk measurement will include the curb exposure as </w:t>
      </w:r>
      <w:r w:rsidR="00B754B3">
        <w:t>shown in the Contract Documents</w:t>
      </w:r>
      <w:r>
        <w:t xml:space="preserve"> or directed.  Monolithic curb, gutter, and sidewalk measurement will include the curb exposure and horizontal gutter dimension as designed or directed.  No reduction of measurement will be made for reduced curb exposure required for ramps or ramp wings.</w:t>
      </w:r>
    </w:p>
    <w:p w14:paraId="14A6B44D" w14:textId="77777777" w:rsidR="00EB42F3" w:rsidRDefault="00EB42F3" w:rsidP="00FD3386">
      <w:pPr>
        <w:rPr>
          <w:color w:val="000000"/>
        </w:rPr>
      </w:pPr>
    </w:p>
    <w:p w14:paraId="5A5FB90D" w14:textId="7D5DBC66" w:rsidR="00EB42F3" w:rsidRPr="00EB42F3" w:rsidRDefault="00EB42F3" w:rsidP="00EB42F3">
      <w:pPr>
        <w:ind w:left="360"/>
        <w:rPr>
          <w:b/>
          <w:bCs/>
          <w:i/>
          <w:iCs/>
          <w:color w:val="FF0000"/>
        </w:rPr>
      </w:pPr>
      <w:r w:rsidRPr="00EB42F3">
        <w:rPr>
          <w:b/>
          <w:bCs/>
          <w:i/>
          <w:iCs/>
          <w:color w:val="FF0000"/>
        </w:rPr>
        <w:t>(Use the following subsection .90 when adding pay items.  Delete items that do not apply.  Include pay item (</w:t>
      </w:r>
      <w:r>
        <w:rPr>
          <w:b/>
          <w:bCs/>
          <w:i/>
          <w:iCs/>
          <w:color w:val="FF0000"/>
        </w:rPr>
        <w:t>m</w:t>
      </w:r>
      <w:r w:rsidRPr="00EB42F3">
        <w:rPr>
          <w:b/>
          <w:bCs/>
          <w:i/>
          <w:iCs/>
          <w:color w:val="FF0000"/>
        </w:rPr>
        <w:t>) on projects that have only retrofitting existing sidewalks or existing sidewalk ramps with new sidewalk ramps.  Do not use</w:t>
      </w:r>
      <w:r>
        <w:rPr>
          <w:b/>
          <w:bCs/>
          <w:i/>
          <w:iCs/>
          <w:color w:val="FF0000"/>
        </w:rPr>
        <w:t xml:space="preserve"> pay item (m</w:t>
      </w:r>
      <w:r w:rsidRPr="00EB42F3">
        <w:rPr>
          <w:b/>
          <w:bCs/>
          <w:i/>
          <w:iCs/>
          <w:color w:val="FF0000"/>
        </w:rPr>
        <w:t>) on projects that have any other new sidewalk construction.</w:t>
      </w:r>
      <w:r w:rsidR="003945F6">
        <w:rPr>
          <w:b/>
          <w:bCs/>
          <w:i/>
          <w:iCs/>
          <w:color w:val="FF0000"/>
        </w:rPr>
        <w:t xml:space="preserve">  Use pay items (o) thru (r</w:t>
      </w:r>
      <w:r w:rsidRPr="00EB42F3">
        <w:rPr>
          <w:b/>
          <w:bCs/>
          <w:i/>
          <w:iCs/>
          <w:color w:val="FF0000"/>
        </w:rPr>
        <w:t>)</w:t>
      </w:r>
      <w:r w:rsidR="003945F6">
        <w:rPr>
          <w:b/>
          <w:bCs/>
          <w:i/>
          <w:iCs/>
          <w:color w:val="FF0000"/>
        </w:rPr>
        <w:t xml:space="preserve"> when </w:t>
      </w:r>
      <w:r w:rsidR="007D78DD">
        <w:rPr>
          <w:b/>
          <w:bCs/>
          <w:i/>
          <w:iCs/>
          <w:color w:val="FF0000"/>
        </w:rPr>
        <w:t>the different driveway types are identified on the plans</w:t>
      </w:r>
      <w:r w:rsidR="004E3C4B">
        <w:rPr>
          <w:b/>
          <w:bCs/>
          <w:i/>
          <w:iCs/>
          <w:color w:val="FF0000"/>
        </w:rPr>
        <w:t xml:space="preserve">. </w:t>
      </w:r>
      <w:r w:rsidR="00964D98">
        <w:rPr>
          <w:b/>
          <w:bCs/>
          <w:i/>
          <w:iCs/>
          <w:color w:val="FF0000"/>
        </w:rPr>
        <w:t>For projects using both Monolithic Curb and Sidewalk</w:t>
      </w:r>
      <w:r w:rsidR="004C0F50">
        <w:rPr>
          <w:b/>
          <w:bCs/>
          <w:i/>
          <w:iCs/>
          <w:color w:val="FF0000"/>
        </w:rPr>
        <w:t xml:space="preserve"> and </w:t>
      </w:r>
      <w:r w:rsidR="00964D98">
        <w:rPr>
          <w:b/>
          <w:bCs/>
          <w:i/>
          <w:iCs/>
          <w:color w:val="FF0000"/>
        </w:rPr>
        <w:t>Monolithic Curb Gutter and Sidewalks, use</w:t>
      </w:r>
      <w:r w:rsidR="003B0A05">
        <w:rPr>
          <w:b/>
          <w:bCs/>
          <w:i/>
          <w:iCs/>
          <w:color w:val="FF0000"/>
        </w:rPr>
        <w:t xml:space="preserve"> only</w:t>
      </w:r>
      <w:r w:rsidR="00964D98">
        <w:rPr>
          <w:b/>
          <w:bCs/>
          <w:i/>
          <w:iCs/>
          <w:color w:val="FF0000"/>
        </w:rPr>
        <w:t xml:space="preserve"> pay item (f). If project only has Monolithic Curb Gutter and Sidewalk, u</w:t>
      </w:r>
      <w:r w:rsidR="004E3C4B">
        <w:rPr>
          <w:b/>
          <w:bCs/>
          <w:i/>
          <w:iCs/>
          <w:color w:val="FF0000"/>
        </w:rPr>
        <w:t>se pay item (s).</w:t>
      </w:r>
    </w:p>
    <w:p w14:paraId="254B01B7" w14:textId="77777777" w:rsidR="00EB42F3" w:rsidRPr="00561950" w:rsidRDefault="00EB42F3" w:rsidP="00EB42F3"/>
    <w:p w14:paraId="498D82BA" w14:textId="381266F9" w:rsidR="00EB42F3" w:rsidRPr="00561950" w:rsidRDefault="00EB42F3" w:rsidP="00EB42F3">
      <w:r w:rsidRPr="00EB2BB1">
        <w:rPr>
          <w:b/>
        </w:rPr>
        <w:t>00759.90</w:t>
      </w:r>
      <w:r w:rsidR="00066F5B">
        <w:rPr>
          <w:b/>
        </w:rPr>
        <w:tab/>
      </w:r>
      <w:r>
        <w:rPr>
          <w:b/>
        </w:rPr>
        <w:t>Payment</w:t>
      </w:r>
      <w:r w:rsidR="00B754B3">
        <w:rPr>
          <w:b/>
        </w:rPr>
        <w:t xml:space="preserve"> </w:t>
      </w:r>
      <w:r>
        <w:t>-</w:t>
      </w:r>
      <w:r w:rsidR="00B754B3">
        <w:t xml:space="preserve"> </w:t>
      </w:r>
      <w:r w:rsidRPr="00561950">
        <w:t>Add the following pay items:</w:t>
      </w:r>
    </w:p>
    <w:p w14:paraId="54DCEAB7" w14:textId="77777777" w:rsidR="00EB42F3" w:rsidRPr="00561950" w:rsidRDefault="00EB42F3" w:rsidP="00EB42F3"/>
    <w:p w14:paraId="3A2563D2" w14:textId="77777777" w:rsidR="00EB42F3" w:rsidRPr="00EB2BB1" w:rsidRDefault="00EB42F3" w:rsidP="00EB42F3">
      <w:pPr>
        <w:tabs>
          <w:tab w:val="left" w:pos="1620"/>
          <w:tab w:val="center" w:pos="7200"/>
        </w:tabs>
        <w:rPr>
          <w:b/>
        </w:rPr>
      </w:pPr>
      <w:r w:rsidRPr="00561950">
        <w:tab/>
      </w:r>
      <w:r w:rsidRPr="00EB2BB1">
        <w:rPr>
          <w:b/>
        </w:rPr>
        <w:t>Pay Item</w:t>
      </w:r>
      <w:r w:rsidRPr="00EB2BB1">
        <w:rPr>
          <w:b/>
        </w:rPr>
        <w:tab/>
        <w:t>Unit of Measurement</w:t>
      </w:r>
    </w:p>
    <w:p w14:paraId="299EAD22" w14:textId="033AC997" w:rsidR="00EB42F3" w:rsidRDefault="00EB42F3" w:rsidP="005F7969">
      <w:r w:rsidRPr="00561950">
        <w:tab/>
        <w:t>(</w:t>
      </w:r>
      <w:r w:rsidR="00A032C7">
        <w:t>p</w:t>
      </w:r>
      <w:r w:rsidRPr="00561950">
        <w:t>)</w:t>
      </w:r>
      <w:r w:rsidRPr="00561950">
        <w:tab/>
        <w:t>Concrete Sidewalk Ramps</w:t>
      </w:r>
      <w:r w:rsidRPr="00561950">
        <w:tab/>
      </w:r>
      <w:r w:rsidR="00D85870">
        <w:tab/>
      </w:r>
      <w:r w:rsidR="00D85870">
        <w:tab/>
      </w:r>
      <w:r w:rsidR="00D85870">
        <w:tab/>
      </w:r>
      <w:r w:rsidR="00D85870">
        <w:tab/>
      </w:r>
      <w:r w:rsidRPr="00561950">
        <w:t>Each</w:t>
      </w:r>
    </w:p>
    <w:p w14:paraId="7CB21810" w14:textId="015452F7" w:rsidR="008C7B99" w:rsidRDefault="008C7B99" w:rsidP="005F7969">
      <w:r>
        <w:tab/>
        <w:t>(</w:t>
      </w:r>
      <w:r w:rsidR="00A032C7">
        <w:t>q</w:t>
      </w:r>
      <w:r>
        <w:t>)</w:t>
      </w:r>
      <w:r>
        <w:tab/>
        <w:t>Monolithic Curb and Driveways</w:t>
      </w:r>
      <w:r>
        <w:tab/>
      </w:r>
      <w:r w:rsidR="00D85870">
        <w:tab/>
      </w:r>
      <w:r w:rsidR="00D85870">
        <w:tab/>
        <w:t xml:space="preserve">    </w:t>
      </w:r>
      <w:r>
        <w:t>Square Foot</w:t>
      </w:r>
    </w:p>
    <w:p w14:paraId="57520B95" w14:textId="1AFF8E8C" w:rsidR="008C7B99" w:rsidRDefault="008C7B99" w:rsidP="005F7969">
      <w:r w:rsidRPr="00561950">
        <w:tab/>
        <w:t>(</w:t>
      </w:r>
      <w:r w:rsidR="00A032C7">
        <w:t>r</w:t>
      </w:r>
      <w:r w:rsidRPr="00561950">
        <w:t>)</w:t>
      </w:r>
      <w:r w:rsidRPr="00561950">
        <w:tab/>
      </w:r>
      <w:r>
        <w:t>Monolithic Curb and Gutter Driveways</w:t>
      </w:r>
      <w:r w:rsidRPr="00561950">
        <w:tab/>
      </w:r>
      <w:r w:rsidR="00D85870">
        <w:tab/>
        <w:t xml:space="preserve">    </w:t>
      </w:r>
      <w:r>
        <w:t>Square Foot</w:t>
      </w:r>
    </w:p>
    <w:p w14:paraId="01933105" w14:textId="590C5FE7" w:rsidR="008C7B99" w:rsidRDefault="008C7B99" w:rsidP="005F7969">
      <w:r>
        <w:tab/>
        <w:t>(</w:t>
      </w:r>
      <w:r w:rsidR="00A032C7">
        <w:t>s</w:t>
      </w:r>
      <w:r>
        <w:t>)</w:t>
      </w:r>
      <w:r>
        <w:tab/>
        <w:t xml:space="preserve">Monolithic Curb and </w:t>
      </w:r>
      <w:r w:rsidR="0090162E">
        <w:t>Driveways, reinforced</w:t>
      </w:r>
      <w:r>
        <w:tab/>
      </w:r>
      <w:r w:rsidR="00D85870">
        <w:tab/>
        <w:t xml:space="preserve">    </w:t>
      </w:r>
      <w:r>
        <w:t>Square Foot</w:t>
      </w:r>
    </w:p>
    <w:p w14:paraId="06CC30C9" w14:textId="4AC7FFD0" w:rsidR="0090162E" w:rsidRDefault="0090162E" w:rsidP="005F7969">
      <w:r w:rsidRPr="00561950">
        <w:tab/>
        <w:t>(</w:t>
      </w:r>
      <w:r w:rsidR="00A032C7">
        <w:t>t</w:t>
      </w:r>
      <w:r w:rsidRPr="00561950">
        <w:t>)</w:t>
      </w:r>
      <w:r w:rsidRPr="00561950">
        <w:tab/>
      </w:r>
      <w:r>
        <w:t xml:space="preserve">Monolithic Curb Gutter </w:t>
      </w:r>
      <w:r w:rsidR="0015524F">
        <w:t xml:space="preserve">and </w:t>
      </w:r>
      <w:r>
        <w:t>Driveways, reinforced</w:t>
      </w:r>
      <w:r w:rsidRPr="00561950">
        <w:tab/>
      </w:r>
      <w:r w:rsidR="00D85870">
        <w:t xml:space="preserve">    </w:t>
      </w:r>
      <w:r>
        <w:t>Square Foot</w:t>
      </w:r>
    </w:p>
    <w:p w14:paraId="627849B0" w14:textId="0A1BED80" w:rsidR="0090162E" w:rsidRDefault="0090162E" w:rsidP="005F7969">
      <w:r>
        <w:tab/>
        <w:t>(</w:t>
      </w:r>
      <w:r w:rsidR="00A032C7">
        <w:t>u</w:t>
      </w:r>
      <w:r>
        <w:t>)</w:t>
      </w:r>
      <w:r>
        <w:tab/>
        <w:t>Monolithic Curb Gutter</w:t>
      </w:r>
      <w:r w:rsidR="0015524F">
        <w:t xml:space="preserve"> and</w:t>
      </w:r>
      <w:r>
        <w:t xml:space="preserve"> Sidewalks</w:t>
      </w:r>
      <w:r>
        <w:tab/>
      </w:r>
      <w:r w:rsidR="00D85870">
        <w:t xml:space="preserve">   </w:t>
      </w:r>
      <w:r w:rsidR="00D85870">
        <w:tab/>
        <w:t xml:space="preserve">    </w:t>
      </w:r>
      <w:r>
        <w:t>Square Foot</w:t>
      </w:r>
    </w:p>
    <w:p w14:paraId="5FFF789F" w14:textId="77777777" w:rsidR="005746F1" w:rsidRDefault="005746F1" w:rsidP="00EB42F3">
      <w:pPr>
        <w:ind w:left="360"/>
        <w:rPr>
          <w:b/>
          <w:bCs/>
          <w:i/>
          <w:iCs/>
          <w:color w:val="FF0000"/>
        </w:rPr>
      </w:pPr>
    </w:p>
    <w:p w14:paraId="5E1356FC" w14:textId="254A04C0" w:rsidR="00EB42F3" w:rsidRPr="00EB42F3" w:rsidRDefault="00EB42F3" w:rsidP="00EB42F3">
      <w:pPr>
        <w:ind w:left="360"/>
        <w:rPr>
          <w:b/>
          <w:bCs/>
          <w:i/>
          <w:iCs/>
          <w:color w:val="FF0000"/>
        </w:rPr>
      </w:pPr>
      <w:r w:rsidRPr="00EB42F3">
        <w:rPr>
          <w:b/>
          <w:bCs/>
          <w:i/>
          <w:iCs/>
          <w:color w:val="FF0000"/>
        </w:rPr>
        <w:t>(Use the following paragraphs when pay item (</w:t>
      </w:r>
      <w:r w:rsidR="00A032C7">
        <w:rPr>
          <w:b/>
          <w:bCs/>
          <w:i/>
          <w:iCs/>
          <w:color w:val="FF0000"/>
        </w:rPr>
        <w:t>p</w:t>
      </w:r>
      <w:r w:rsidRPr="00EB42F3">
        <w:rPr>
          <w:b/>
          <w:bCs/>
          <w:i/>
          <w:iCs/>
          <w:color w:val="FF0000"/>
        </w:rPr>
        <w:t>) is included in the project.)</w:t>
      </w:r>
    </w:p>
    <w:p w14:paraId="26FCDAA3" w14:textId="77777777" w:rsidR="00EB42F3" w:rsidRPr="00561950" w:rsidRDefault="00EB42F3" w:rsidP="00EB42F3"/>
    <w:p w14:paraId="4D5C77EE" w14:textId="77777777" w:rsidR="00EB42F3" w:rsidRPr="00561950" w:rsidRDefault="00EB42F3" w:rsidP="00EB42F3">
      <w:r w:rsidRPr="00561950">
        <w:t xml:space="preserve">Delete the paragraph that reads </w:t>
      </w:r>
      <w:r>
        <w:t>"</w:t>
      </w:r>
      <w:r w:rsidRPr="00561950">
        <w:t>Item</w:t>
      </w:r>
      <w:r>
        <w:t>s</w:t>
      </w:r>
      <w:r w:rsidRPr="00561950">
        <w:t xml:space="preserve"> (e)</w:t>
      </w:r>
      <w:r>
        <w:t xml:space="preserve"> and (f)</w:t>
      </w:r>
      <w:r w:rsidRPr="00561950">
        <w:t xml:space="preserve"> include sidewalk ramps.</w:t>
      </w:r>
      <w:r>
        <w:t>"</w:t>
      </w:r>
    </w:p>
    <w:p w14:paraId="6F71C1B2" w14:textId="77777777" w:rsidR="00EB42F3" w:rsidRDefault="00EB42F3" w:rsidP="00EB42F3"/>
    <w:p w14:paraId="7A20BA81" w14:textId="77777777" w:rsidR="00EB42F3" w:rsidRDefault="00EB42F3" w:rsidP="00EB42F3">
      <w:r>
        <w:t>Add the following paragraph:</w:t>
      </w:r>
    </w:p>
    <w:p w14:paraId="549FD5FB" w14:textId="77777777" w:rsidR="00EB42F3" w:rsidRPr="00561950" w:rsidRDefault="00EB42F3" w:rsidP="009E2546"/>
    <w:p w14:paraId="12E0E669" w14:textId="23A50C19" w:rsidR="00EB42F3" w:rsidRDefault="00EB42F3" w:rsidP="009E2546">
      <w:r w:rsidRPr="00561950">
        <w:t>Item (</w:t>
      </w:r>
      <w:r w:rsidR="00A032C7">
        <w:t>p</w:t>
      </w:r>
      <w:r w:rsidRPr="00561950">
        <w:t xml:space="preserve">) includes saw cutting and removing existing </w:t>
      </w:r>
      <w:r>
        <w:t xml:space="preserve">concrete </w:t>
      </w:r>
      <w:r w:rsidRPr="00561950">
        <w:t xml:space="preserve">walks, </w:t>
      </w:r>
      <w:r>
        <w:t xml:space="preserve">curbs, or </w:t>
      </w:r>
      <w:r w:rsidRPr="00561950">
        <w:t xml:space="preserve">ramps, and replacing </w:t>
      </w:r>
      <w:r>
        <w:t xml:space="preserve">them </w:t>
      </w:r>
      <w:r w:rsidRPr="00561950">
        <w:t xml:space="preserve">with new </w:t>
      </w:r>
      <w:r>
        <w:t xml:space="preserve">sidewalk </w:t>
      </w:r>
      <w:r w:rsidRPr="00561950">
        <w:t>ramps and curbs</w:t>
      </w:r>
      <w:r>
        <w:t>.</w:t>
      </w:r>
    </w:p>
    <w:p w14:paraId="1ADB1B36" w14:textId="77777777" w:rsidR="007D78DD" w:rsidRDefault="007D78DD" w:rsidP="003945F6"/>
    <w:p w14:paraId="62AFA6D4" w14:textId="2FE6B058" w:rsidR="007D78DD" w:rsidRPr="00EB42F3" w:rsidRDefault="007D78DD" w:rsidP="007D78DD">
      <w:pPr>
        <w:ind w:left="360"/>
        <w:rPr>
          <w:b/>
          <w:bCs/>
          <w:i/>
          <w:iCs/>
          <w:color w:val="FF0000"/>
        </w:rPr>
      </w:pPr>
      <w:r w:rsidRPr="00EB42F3">
        <w:rPr>
          <w:b/>
          <w:bCs/>
          <w:i/>
          <w:iCs/>
          <w:color w:val="FF0000"/>
        </w:rPr>
        <w:t>(</w:t>
      </w:r>
      <w:r>
        <w:rPr>
          <w:b/>
          <w:bCs/>
          <w:i/>
          <w:iCs/>
          <w:color w:val="FF0000"/>
        </w:rPr>
        <w:t xml:space="preserve">Use the following if your project has monolithic curb, </w:t>
      </w:r>
      <w:r w:rsidRPr="007D78DD">
        <w:rPr>
          <w:b/>
          <w:bCs/>
          <w:i/>
          <w:iCs/>
          <w:color w:val="FF0000"/>
          <w:u w:val="single"/>
        </w:rPr>
        <w:t>gutter</w:t>
      </w:r>
      <w:r>
        <w:rPr>
          <w:b/>
          <w:bCs/>
          <w:i/>
          <w:iCs/>
          <w:color w:val="FF0000"/>
        </w:rPr>
        <w:t xml:space="preserve"> and sidewalk that are paid under</w:t>
      </w:r>
      <w:r w:rsidRPr="00EB42F3">
        <w:rPr>
          <w:b/>
          <w:bCs/>
          <w:i/>
          <w:iCs/>
          <w:color w:val="FF0000"/>
        </w:rPr>
        <w:t xml:space="preserve"> pay item (</w:t>
      </w:r>
      <w:r>
        <w:rPr>
          <w:b/>
          <w:bCs/>
          <w:i/>
          <w:iCs/>
          <w:color w:val="FF0000"/>
        </w:rPr>
        <w:t>f</w:t>
      </w:r>
      <w:r w:rsidRPr="00EB42F3">
        <w:rPr>
          <w:b/>
          <w:bCs/>
          <w:i/>
          <w:iCs/>
          <w:color w:val="FF0000"/>
        </w:rPr>
        <w:t>)</w:t>
      </w:r>
      <w:r>
        <w:rPr>
          <w:b/>
          <w:bCs/>
          <w:i/>
          <w:iCs/>
          <w:color w:val="FF0000"/>
        </w:rPr>
        <w:t xml:space="preserve"> Monolithic Curb and </w:t>
      </w:r>
      <w:r w:rsidR="00B754B3">
        <w:rPr>
          <w:b/>
          <w:bCs/>
          <w:i/>
          <w:iCs/>
          <w:color w:val="FF0000"/>
        </w:rPr>
        <w:t>Sidewalk and</w:t>
      </w:r>
      <w:r w:rsidR="009E1F17">
        <w:rPr>
          <w:b/>
          <w:bCs/>
          <w:i/>
          <w:iCs/>
          <w:color w:val="FF0000"/>
        </w:rPr>
        <w:t xml:space="preserve"> pay item (</w:t>
      </w:r>
      <w:r w:rsidR="001058B6">
        <w:rPr>
          <w:b/>
          <w:bCs/>
          <w:i/>
          <w:iCs/>
          <w:color w:val="FF0000"/>
        </w:rPr>
        <w:t>u</w:t>
      </w:r>
      <w:r w:rsidR="009E1F17">
        <w:rPr>
          <w:b/>
          <w:bCs/>
          <w:i/>
          <w:iCs/>
          <w:color w:val="FF0000"/>
        </w:rPr>
        <w:t>) is not used.</w:t>
      </w:r>
      <w:r>
        <w:rPr>
          <w:b/>
          <w:bCs/>
          <w:i/>
          <w:iCs/>
          <w:color w:val="FF0000"/>
        </w:rPr>
        <w:t xml:space="preserve">) </w:t>
      </w:r>
    </w:p>
    <w:p w14:paraId="07A00669" w14:textId="77777777" w:rsidR="007D78DD" w:rsidRDefault="007D78DD" w:rsidP="003945F6"/>
    <w:p w14:paraId="21229322" w14:textId="77777777" w:rsidR="009E1F17" w:rsidRDefault="009E1F17" w:rsidP="009E1F17">
      <w:r>
        <w:t>Add the following:</w:t>
      </w:r>
    </w:p>
    <w:p w14:paraId="4673408A" w14:textId="77777777" w:rsidR="009E1F17" w:rsidRDefault="009E1F17" w:rsidP="001058B6"/>
    <w:p w14:paraId="174FAB52" w14:textId="5A3A9396" w:rsidR="007841FC" w:rsidRPr="0061311B" w:rsidRDefault="009E1F17" w:rsidP="003800D9">
      <w:r>
        <w:t xml:space="preserve">Item (f) includes </w:t>
      </w:r>
      <w:r w:rsidR="00B754B3">
        <w:t>M</w:t>
      </w:r>
      <w:r>
        <w:t xml:space="preserve">onolithic </w:t>
      </w:r>
      <w:r w:rsidR="00B754B3">
        <w:t>C</w:t>
      </w:r>
      <w:r>
        <w:t>urb</w:t>
      </w:r>
      <w:r w:rsidR="000229A6">
        <w:t xml:space="preserve">, </w:t>
      </w:r>
      <w:r w:rsidR="00B754B3">
        <w:t>G</w:t>
      </w:r>
      <w:r w:rsidR="000229A6">
        <w:t>utter,</w:t>
      </w:r>
      <w:r>
        <w:t xml:space="preserve"> and </w:t>
      </w:r>
      <w:r w:rsidR="00B754B3">
        <w:t>Si</w:t>
      </w:r>
      <w:r>
        <w:t>dewalks</w:t>
      </w:r>
      <w:r w:rsidR="00A84F8A">
        <w:t>.</w:t>
      </w:r>
    </w:p>
    <w:sectPr w:rsidR="007841FC" w:rsidRPr="0061311B" w:rsidSect="00981525">
      <w:footerReference w:type="default" r:id="rId7"/>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F38E1" w14:textId="77777777" w:rsidR="00A15599" w:rsidRDefault="00A15599">
      <w:r>
        <w:separator/>
      </w:r>
    </w:p>
  </w:endnote>
  <w:endnote w:type="continuationSeparator" w:id="0">
    <w:p w14:paraId="36C7A579" w14:textId="77777777" w:rsidR="00A15599" w:rsidRDefault="00A1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F5837" w14:textId="77777777" w:rsidR="009E1F17" w:rsidRDefault="009E1F17">
    <w:pPr>
      <w:pStyle w:val="Footer"/>
      <w:tabs>
        <w:tab w:val="clear" w:pos="4320"/>
        <w:tab w:val="clear" w:pos="8640"/>
        <w:tab w:val="right" w:pos="8910"/>
      </w:tabs>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2030F" w14:textId="77777777" w:rsidR="00A15599" w:rsidRDefault="00A15599">
      <w:r>
        <w:separator/>
      </w:r>
    </w:p>
  </w:footnote>
  <w:footnote w:type="continuationSeparator" w:id="0">
    <w:p w14:paraId="3DC95871" w14:textId="77777777" w:rsidR="00A15599" w:rsidRDefault="00A15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E2499"/>
    <w:multiLevelType w:val="singleLevel"/>
    <w:tmpl w:val="3A3C985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1D4D3DD7"/>
    <w:multiLevelType w:val="singleLevel"/>
    <w:tmpl w:val="976A591E"/>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21E92C5F"/>
    <w:multiLevelType w:val="multilevel"/>
    <w:tmpl w:val="D8EA2694"/>
    <w:lvl w:ilvl="0">
      <w:start w:val="759"/>
      <w:numFmt w:val="decimalZero"/>
      <w:lvlText w:val="%1"/>
      <w:lvlJc w:val="left"/>
      <w:pPr>
        <w:tabs>
          <w:tab w:val="num" w:pos="1440"/>
        </w:tabs>
        <w:ind w:left="1440" w:hanging="1440"/>
      </w:pPr>
      <w:rPr>
        <w:rFonts w:hint="default"/>
        <w:b/>
      </w:rPr>
    </w:lvl>
    <w:lvl w:ilvl="1">
      <w:start w:val="80"/>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26C46366"/>
    <w:multiLevelType w:val="hybridMultilevel"/>
    <w:tmpl w:val="7D06BAE0"/>
    <w:lvl w:ilvl="0" w:tplc="BAD2C458">
      <w:start w:val="2"/>
      <w:numFmt w:val="lowerLetter"/>
      <w:lvlText w:val="%1)"/>
      <w:lvlJc w:val="left"/>
      <w:pPr>
        <w:tabs>
          <w:tab w:val="num" w:pos="558"/>
        </w:tabs>
        <w:ind w:left="558" w:hanging="288"/>
      </w:pPr>
      <w:rPr>
        <w:rFonts w:hint="default"/>
        <w:b/>
        <w:bCs/>
        <w:color w:val="auto"/>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4" w15:restartNumberingAfterBreak="0">
    <w:nsid w:val="450C190E"/>
    <w:multiLevelType w:val="singleLevel"/>
    <w:tmpl w:val="7B8E6EF8"/>
    <w:lvl w:ilvl="0">
      <w:start w:val="1"/>
      <w:numFmt w:val="bullet"/>
      <w:lvlText w:val=""/>
      <w:lvlJc w:val="left"/>
      <w:pPr>
        <w:tabs>
          <w:tab w:val="num" w:pos="2160"/>
        </w:tabs>
        <w:ind w:left="2160" w:hanging="360"/>
      </w:pPr>
      <w:rPr>
        <w:rFonts w:ascii="Symbol" w:hAnsi="Symbol" w:hint="default"/>
      </w:rPr>
    </w:lvl>
  </w:abstractNum>
  <w:abstractNum w:abstractNumId="5" w15:restartNumberingAfterBreak="0">
    <w:nsid w:val="4B8E4A6F"/>
    <w:multiLevelType w:val="singleLevel"/>
    <w:tmpl w:val="801078AA"/>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63C309EE"/>
    <w:multiLevelType w:val="hybridMultilevel"/>
    <w:tmpl w:val="2C94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BD21AA"/>
    <w:multiLevelType w:val="singleLevel"/>
    <w:tmpl w:val="CA70E3B2"/>
    <w:lvl w:ilvl="0">
      <w:start w:val="1"/>
      <w:numFmt w:val="bullet"/>
      <w:lvlText w:val=""/>
      <w:lvlJc w:val="left"/>
      <w:pPr>
        <w:tabs>
          <w:tab w:val="num" w:pos="720"/>
        </w:tabs>
        <w:ind w:left="720" w:hanging="360"/>
      </w:pPr>
      <w:rPr>
        <w:rFonts w:ascii="Wingdings" w:hAnsi="Wingdings" w:hint="default"/>
        <w:sz w:val="16"/>
      </w:rPr>
    </w:lvl>
  </w:abstractNum>
  <w:abstractNum w:abstractNumId="8" w15:restartNumberingAfterBreak="0">
    <w:nsid w:val="6BBE35E0"/>
    <w:multiLevelType w:val="hybridMultilevel"/>
    <w:tmpl w:val="1B26C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4C92116"/>
    <w:multiLevelType w:val="hybridMultilevel"/>
    <w:tmpl w:val="27EE3DE6"/>
    <w:lvl w:ilvl="0" w:tplc="48DA2624">
      <w:start w:val="1"/>
      <w:numFmt w:val="bullet"/>
      <w:lvlText w:val=""/>
      <w:lvlJc w:val="left"/>
      <w:pPr>
        <w:tabs>
          <w:tab w:val="num" w:pos="1080"/>
        </w:tabs>
        <w:ind w:left="1080" w:hanging="360"/>
      </w:pPr>
      <w:rPr>
        <w:rFonts w:ascii="Symbol" w:hAnsi="Symbol" w:hint="default"/>
      </w:rPr>
    </w:lvl>
    <w:lvl w:ilvl="1" w:tplc="B332FA68" w:tentative="1">
      <w:start w:val="1"/>
      <w:numFmt w:val="bullet"/>
      <w:lvlText w:val="o"/>
      <w:lvlJc w:val="left"/>
      <w:pPr>
        <w:tabs>
          <w:tab w:val="num" w:pos="1440"/>
        </w:tabs>
        <w:ind w:left="1440" w:hanging="360"/>
      </w:pPr>
      <w:rPr>
        <w:rFonts w:ascii="Courier New" w:hAnsi="Courier New" w:hint="default"/>
      </w:rPr>
    </w:lvl>
    <w:lvl w:ilvl="2" w:tplc="E9A8749C" w:tentative="1">
      <w:start w:val="1"/>
      <w:numFmt w:val="bullet"/>
      <w:lvlText w:val=""/>
      <w:lvlJc w:val="left"/>
      <w:pPr>
        <w:tabs>
          <w:tab w:val="num" w:pos="2160"/>
        </w:tabs>
        <w:ind w:left="2160" w:hanging="360"/>
      </w:pPr>
      <w:rPr>
        <w:rFonts w:ascii="Wingdings" w:hAnsi="Wingdings" w:hint="default"/>
      </w:rPr>
    </w:lvl>
    <w:lvl w:ilvl="3" w:tplc="23D862EE" w:tentative="1">
      <w:start w:val="1"/>
      <w:numFmt w:val="bullet"/>
      <w:lvlText w:val=""/>
      <w:lvlJc w:val="left"/>
      <w:pPr>
        <w:tabs>
          <w:tab w:val="num" w:pos="2880"/>
        </w:tabs>
        <w:ind w:left="2880" w:hanging="360"/>
      </w:pPr>
      <w:rPr>
        <w:rFonts w:ascii="Symbol" w:hAnsi="Symbol" w:hint="default"/>
      </w:rPr>
    </w:lvl>
    <w:lvl w:ilvl="4" w:tplc="D4CC3DE6" w:tentative="1">
      <w:start w:val="1"/>
      <w:numFmt w:val="bullet"/>
      <w:lvlText w:val="o"/>
      <w:lvlJc w:val="left"/>
      <w:pPr>
        <w:tabs>
          <w:tab w:val="num" w:pos="3600"/>
        </w:tabs>
        <w:ind w:left="3600" w:hanging="360"/>
      </w:pPr>
      <w:rPr>
        <w:rFonts w:ascii="Courier New" w:hAnsi="Courier New" w:hint="default"/>
      </w:rPr>
    </w:lvl>
    <w:lvl w:ilvl="5" w:tplc="0194DAD4" w:tentative="1">
      <w:start w:val="1"/>
      <w:numFmt w:val="bullet"/>
      <w:lvlText w:val=""/>
      <w:lvlJc w:val="left"/>
      <w:pPr>
        <w:tabs>
          <w:tab w:val="num" w:pos="4320"/>
        </w:tabs>
        <w:ind w:left="4320" w:hanging="360"/>
      </w:pPr>
      <w:rPr>
        <w:rFonts w:ascii="Wingdings" w:hAnsi="Wingdings" w:hint="default"/>
      </w:rPr>
    </w:lvl>
    <w:lvl w:ilvl="6" w:tplc="72F8FEAA" w:tentative="1">
      <w:start w:val="1"/>
      <w:numFmt w:val="bullet"/>
      <w:lvlText w:val=""/>
      <w:lvlJc w:val="left"/>
      <w:pPr>
        <w:tabs>
          <w:tab w:val="num" w:pos="5040"/>
        </w:tabs>
        <w:ind w:left="5040" w:hanging="360"/>
      </w:pPr>
      <w:rPr>
        <w:rFonts w:ascii="Symbol" w:hAnsi="Symbol" w:hint="default"/>
      </w:rPr>
    </w:lvl>
    <w:lvl w:ilvl="7" w:tplc="70E43BF0" w:tentative="1">
      <w:start w:val="1"/>
      <w:numFmt w:val="bullet"/>
      <w:lvlText w:val="o"/>
      <w:lvlJc w:val="left"/>
      <w:pPr>
        <w:tabs>
          <w:tab w:val="num" w:pos="5760"/>
        </w:tabs>
        <w:ind w:left="5760" w:hanging="360"/>
      </w:pPr>
      <w:rPr>
        <w:rFonts w:ascii="Courier New" w:hAnsi="Courier New" w:hint="default"/>
      </w:rPr>
    </w:lvl>
    <w:lvl w:ilvl="8" w:tplc="D966D17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FF67E8"/>
    <w:multiLevelType w:val="singleLevel"/>
    <w:tmpl w:val="785A7EDA"/>
    <w:lvl w:ilvl="0">
      <w:start w:val="1"/>
      <w:numFmt w:val="bullet"/>
      <w:lvlText w:val=""/>
      <w:lvlJc w:val="left"/>
      <w:pPr>
        <w:tabs>
          <w:tab w:val="num" w:pos="720"/>
        </w:tabs>
        <w:ind w:left="720" w:hanging="360"/>
      </w:pPr>
      <w:rPr>
        <w:rFonts w:ascii="Symbol" w:hAnsi="Symbol" w:hint="default"/>
      </w:rPr>
    </w:lvl>
  </w:abstractNum>
  <w:num w:numId="1">
    <w:abstractNumId w:val="5"/>
  </w:num>
  <w:num w:numId="2">
    <w:abstractNumId w:val="1"/>
  </w:num>
  <w:num w:numId="3">
    <w:abstractNumId w:val="0"/>
  </w:num>
  <w:num w:numId="4">
    <w:abstractNumId w:val="4"/>
  </w:num>
  <w:num w:numId="5">
    <w:abstractNumId w:val="7"/>
  </w:num>
  <w:num w:numId="6">
    <w:abstractNumId w:val="10"/>
  </w:num>
  <w:num w:numId="7">
    <w:abstractNumId w:val="9"/>
  </w:num>
  <w:num w:numId="8">
    <w:abstractNumId w:val="3"/>
  </w:num>
  <w:num w:numId="9">
    <w:abstractNumId w:val="2"/>
  </w:num>
  <w:num w:numId="10">
    <w:abstractNumId w:val="8"/>
  </w:num>
  <w:num w:numId="11">
    <w:abstractNumId w:val="3"/>
    <w:lvlOverride w:ilvl="0">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485"/>
    <w:rsid w:val="0001246B"/>
    <w:rsid w:val="00022034"/>
    <w:rsid w:val="000223F8"/>
    <w:rsid w:val="000229A6"/>
    <w:rsid w:val="00066F5B"/>
    <w:rsid w:val="00073B67"/>
    <w:rsid w:val="000B030A"/>
    <w:rsid w:val="000C111D"/>
    <w:rsid w:val="00101476"/>
    <w:rsid w:val="001058B6"/>
    <w:rsid w:val="00132B1D"/>
    <w:rsid w:val="00146BC7"/>
    <w:rsid w:val="0015524F"/>
    <w:rsid w:val="00155C84"/>
    <w:rsid w:val="001B5052"/>
    <w:rsid w:val="001C7BE5"/>
    <w:rsid w:val="001E0087"/>
    <w:rsid w:val="001E5C61"/>
    <w:rsid w:val="002317A1"/>
    <w:rsid w:val="00244C1D"/>
    <w:rsid w:val="00246624"/>
    <w:rsid w:val="00263B0A"/>
    <w:rsid w:val="00287F84"/>
    <w:rsid w:val="002A64FF"/>
    <w:rsid w:val="00302AD8"/>
    <w:rsid w:val="00310F63"/>
    <w:rsid w:val="003339F7"/>
    <w:rsid w:val="0035447E"/>
    <w:rsid w:val="0037456D"/>
    <w:rsid w:val="003800D9"/>
    <w:rsid w:val="003945F6"/>
    <w:rsid w:val="003B0A05"/>
    <w:rsid w:val="003B3374"/>
    <w:rsid w:val="003E0839"/>
    <w:rsid w:val="003E09DB"/>
    <w:rsid w:val="0041109F"/>
    <w:rsid w:val="00442F88"/>
    <w:rsid w:val="004B0A71"/>
    <w:rsid w:val="004B4CDE"/>
    <w:rsid w:val="004C0F50"/>
    <w:rsid w:val="004E3C4B"/>
    <w:rsid w:val="00537076"/>
    <w:rsid w:val="005448DA"/>
    <w:rsid w:val="005746F1"/>
    <w:rsid w:val="005762E2"/>
    <w:rsid w:val="0058791F"/>
    <w:rsid w:val="005C3FA1"/>
    <w:rsid w:val="005D1B17"/>
    <w:rsid w:val="005E2F4B"/>
    <w:rsid w:val="005F7969"/>
    <w:rsid w:val="00625239"/>
    <w:rsid w:val="00647067"/>
    <w:rsid w:val="006C2270"/>
    <w:rsid w:val="006C3DE2"/>
    <w:rsid w:val="006E389B"/>
    <w:rsid w:val="006F3218"/>
    <w:rsid w:val="00752EDB"/>
    <w:rsid w:val="00761B0D"/>
    <w:rsid w:val="00782B06"/>
    <w:rsid w:val="007841FC"/>
    <w:rsid w:val="00792A90"/>
    <w:rsid w:val="00794E36"/>
    <w:rsid w:val="007A26B8"/>
    <w:rsid w:val="007B4904"/>
    <w:rsid w:val="007D1DE7"/>
    <w:rsid w:val="007D78DD"/>
    <w:rsid w:val="007F07E8"/>
    <w:rsid w:val="0083197E"/>
    <w:rsid w:val="00866445"/>
    <w:rsid w:val="00867D37"/>
    <w:rsid w:val="00890840"/>
    <w:rsid w:val="00897EF0"/>
    <w:rsid w:val="008C3189"/>
    <w:rsid w:val="008C7B99"/>
    <w:rsid w:val="008E27CF"/>
    <w:rsid w:val="008E7AF1"/>
    <w:rsid w:val="0090162E"/>
    <w:rsid w:val="00964D98"/>
    <w:rsid w:val="00981525"/>
    <w:rsid w:val="009C4FFA"/>
    <w:rsid w:val="009E1F17"/>
    <w:rsid w:val="009E2546"/>
    <w:rsid w:val="00A032C7"/>
    <w:rsid w:val="00A127B6"/>
    <w:rsid w:val="00A15599"/>
    <w:rsid w:val="00A238BC"/>
    <w:rsid w:val="00A42ADB"/>
    <w:rsid w:val="00A7549D"/>
    <w:rsid w:val="00A84F8A"/>
    <w:rsid w:val="00A91534"/>
    <w:rsid w:val="00AB3135"/>
    <w:rsid w:val="00AC100A"/>
    <w:rsid w:val="00AF0625"/>
    <w:rsid w:val="00B019C7"/>
    <w:rsid w:val="00B10EEA"/>
    <w:rsid w:val="00B36570"/>
    <w:rsid w:val="00B46D42"/>
    <w:rsid w:val="00B548C8"/>
    <w:rsid w:val="00B60341"/>
    <w:rsid w:val="00B754B3"/>
    <w:rsid w:val="00B93942"/>
    <w:rsid w:val="00BA2D38"/>
    <w:rsid w:val="00BB3313"/>
    <w:rsid w:val="00BC7BC8"/>
    <w:rsid w:val="00C17E90"/>
    <w:rsid w:val="00C2778F"/>
    <w:rsid w:val="00C52871"/>
    <w:rsid w:val="00C74FA0"/>
    <w:rsid w:val="00CA63C2"/>
    <w:rsid w:val="00CB7F45"/>
    <w:rsid w:val="00CC0890"/>
    <w:rsid w:val="00CC3D45"/>
    <w:rsid w:val="00CE170E"/>
    <w:rsid w:val="00CF2485"/>
    <w:rsid w:val="00CF28E6"/>
    <w:rsid w:val="00D40537"/>
    <w:rsid w:val="00D80C43"/>
    <w:rsid w:val="00D85870"/>
    <w:rsid w:val="00D949A2"/>
    <w:rsid w:val="00DF7AB7"/>
    <w:rsid w:val="00E02F30"/>
    <w:rsid w:val="00E06796"/>
    <w:rsid w:val="00E2762D"/>
    <w:rsid w:val="00E52ADD"/>
    <w:rsid w:val="00E62AB5"/>
    <w:rsid w:val="00E7242E"/>
    <w:rsid w:val="00EB42F3"/>
    <w:rsid w:val="00EB70ED"/>
    <w:rsid w:val="00EC7D85"/>
    <w:rsid w:val="00F06C25"/>
    <w:rsid w:val="00F26FDC"/>
    <w:rsid w:val="00F33CDF"/>
    <w:rsid w:val="00F76CD8"/>
    <w:rsid w:val="00F86041"/>
    <w:rsid w:val="00F94F99"/>
    <w:rsid w:val="00FA2BBA"/>
    <w:rsid w:val="00FB6D1B"/>
    <w:rsid w:val="00FD3386"/>
    <w:rsid w:val="00FD583C"/>
    <w:rsid w:val="00FE3A9F"/>
    <w:rsid w:val="00FF0004"/>
    <w:rsid w:val="00FF3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06F95"/>
  <w15:chartTrackingRefBased/>
  <w15:docId w15:val="{592E0342-C151-433B-B551-75857C17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1FC"/>
    <w:pPr>
      <w:jc w:val="both"/>
    </w:pPr>
    <w:rPr>
      <w:rFonts w:ascii="Arial" w:hAnsi="Arial"/>
      <w:sz w:val="22"/>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jc w:val="center"/>
      <w:outlineLvl w:val="1"/>
    </w:pPr>
    <w:rPr>
      <w:b/>
    </w:rPr>
  </w:style>
  <w:style w:type="paragraph" w:styleId="Heading3">
    <w:name w:val="heading 3"/>
    <w:aliases w:val="Materials"/>
    <w:basedOn w:val="Normal"/>
    <w:next w:val="Normal"/>
    <w:qFormat/>
    <w:pPr>
      <w:tabs>
        <w:tab w:val="left" w:pos="1728"/>
        <w:tab w:val="right" w:leader="dot" w:pos="7488"/>
      </w:tabs>
      <w:outlineLvl w:val="2"/>
    </w:pPr>
  </w:style>
  <w:style w:type="paragraph" w:styleId="Heading4">
    <w:name w:val="heading 4"/>
    <w:aliases w:val="Payment,Payment1,Payment2,Payment3,Payment4,Payment5,Payment6,Payment7,Payment8,Payment9,Payment10,Payment11,Payment12,Payment13,Payment14,Payment15,Payment16,Payment17,Payment18,Payment19,Payment20"/>
    <w:basedOn w:val="Normal"/>
    <w:next w:val="Normal"/>
    <w:qFormat/>
    <w:pPr>
      <w:tabs>
        <w:tab w:val="right" w:pos="1440"/>
        <w:tab w:val="left" w:pos="1584"/>
        <w:tab w:val="center" w:leader="dot" w:pos="7200"/>
      </w:tabs>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rFonts w:ascii="Arial" w:hAnsi="Arial"/>
      <w:kern w:val="0"/>
      <w:sz w:val="22"/>
    </w:rPr>
  </w:style>
  <w:style w:type="paragraph" w:styleId="BodyText">
    <w:name w:val="Body Text"/>
    <w:aliases w:val="BT"/>
    <w:basedOn w:val="Normal"/>
    <w:rsid w:val="00FD3386"/>
    <w:pPr>
      <w:jc w:val="left"/>
    </w:pPr>
    <w:rPr>
      <w:color w:val="FF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semiHidden/>
    <w:pPr>
      <w:ind w:left="1584" w:right="864" w:hanging="1584"/>
      <w:jc w:val="left"/>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0B030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EB42F3"/>
  </w:style>
  <w:style w:type="paragraph" w:customStyle="1" w:styleId="Indent1">
    <w:name w:val="Indent 1"/>
    <w:basedOn w:val="Normal"/>
    <w:rsid w:val="00EB42F3"/>
    <w:pPr>
      <w:ind w:left="288"/>
    </w:pPr>
  </w:style>
  <w:style w:type="paragraph" w:styleId="ListParagraph">
    <w:name w:val="List Paragraph"/>
    <w:basedOn w:val="Normal"/>
    <w:uiPriority w:val="34"/>
    <w:qFormat/>
    <w:rsid w:val="007841FC"/>
    <w:pPr>
      <w:ind w:left="720"/>
      <w:contextualSpacing/>
    </w:pPr>
  </w:style>
  <w:style w:type="character" w:styleId="CommentReference">
    <w:name w:val="annotation reference"/>
    <w:basedOn w:val="DefaultParagraphFont"/>
    <w:rsid w:val="00782B06"/>
    <w:rPr>
      <w:sz w:val="16"/>
      <w:szCs w:val="16"/>
    </w:rPr>
  </w:style>
  <w:style w:type="paragraph" w:styleId="CommentText">
    <w:name w:val="annotation text"/>
    <w:basedOn w:val="Normal"/>
    <w:link w:val="CommentTextChar"/>
    <w:rsid w:val="00782B06"/>
    <w:rPr>
      <w:sz w:val="20"/>
    </w:rPr>
  </w:style>
  <w:style w:type="character" w:customStyle="1" w:styleId="CommentTextChar">
    <w:name w:val="Comment Text Char"/>
    <w:basedOn w:val="DefaultParagraphFont"/>
    <w:link w:val="CommentText"/>
    <w:rsid w:val="00782B06"/>
    <w:rPr>
      <w:rFonts w:ascii="Arial" w:hAnsi="Arial"/>
    </w:rPr>
  </w:style>
  <w:style w:type="paragraph" w:styleId="CommentSubject">
    <w:name w:val="annotation subject"/>
    <w:basedOn w:val="CommentText"/>
    <w:next w:val="CommentText"/>
    <w:link w:val="CommentSubjectChar"/>
    <w:rsid w:val="00782B06"/>
    <w:rPr>
      <w:b/>
      <w:bCs/>
    </w:rPr>
  </w:style>
  <w:style w:type="character" w:customStyle="1" w:styleId="CommentSubjectChar">
    <w:name w:val="Comment Subject Char"/>
    <w:basedOn w:val="CommentTextChar"/>
    <w:link w:val="CommentSubject"/>
    <w:rsid w:val="00782B0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284002">
      <w:bodyDiv w:val="1"/>
      <w:marLeft w:val="0"/>
      <w:marRight w:val="0"/>
      <w:marTop w:val="0"/>
      <w:marBottom w:val="0"/>
      <w:divBdr>
        <w:top w:val="none" w:sz="0" w:space="0" w:color="auto"/>
        <w:left w:val="none" w:sz="0" w:space="0" w:color="auto"/>
        <w:bottom w:val="none" w:sz="0" w:space="0" w:color="auto"/>
        <w:right w:val="none" w:sz="0" w:space="0" w:color="auto"/>
      </w:divBdr>
    </w:div>
    <w:div w:id="57783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hwye05g\Application%20Data\Microsoft\Templates\02%20Special%20Pro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2" ma:contentTypeDescription="Create a new document." ma:contentTypeScope="" ma:versionID="85210f11609b06361309aef8878c0a2d">
  <xsd:schema xmlns:xsd="http://www.w3.org/2001/XMLSchema" xmlns:xs="http://www.w3.org/2001/XMLSchema" xmlns:p="http://schemas.microsoft.com/office/2006/metadata/properties" xmlns:ns2="f644437b-a7fb-4f9b-a349-5af500b9cddb" targetNamespace="http://schemas.microsoft.com/office/2006/metadata/properties" ma:root="true" ma:fieldsID="53310f644fb02b4062abca16c04b61c4" ns2:_="">
    <xsd:import namespace="f644437b-a7fb-4f9b-a349-5af500b9cd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250477-923A-4D6F-B1E2-2FDB9A24AFFB}"/>
</file>

<file path=customXml/itemProps2.xml><?xml version="1.0" encoding="utf-8"?>
<ds:datastoreItem xmlns:ds="http://schemas.openxmlformats.org/officeDocument/2006/customXml" ds:itemID="{91499DA9-FE0A-413F-B07A-0C82AD4DE189}"/>
</file>

<file path=customXml/itemProps3.xml><?xml version="1.0" encoding="utf-8"?>
<ds:datastoreItem xmlns:ds="http://schemas.openxmlformats.org/officeDocument/2006/customXml" ds:itemID="{95CDF24E-62BA-4035-A6C4-9B7F5202527B}"/>
</file>

<file path=docProps/app.xml><?xml version="1.0" encoding="utf-8"?>
<Properties xmlns="http://schemas.openxmlformats.org/officeDocument/2006/extended-properties" xmlns:vt="http://schemas.openxmlformats.org/officeDocument/2006/docPropsVTypes">
  <Template>02 Special Provision.dot</Template>
  <TotalTime>75</TotalTime>
  <Pages>2</Pages>
  <Words>692</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2007 Special Provisions</vt:lpstr>
    </vt:vector>
  </TitlesOfParts>
  <Manager/>
  <Company>City of Portland Office of Transportation</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Special Provisions</dc:title>
  <dc:subject/>
  <dc:creator>mmagee</dc:creator>
  <cp:keywords/>
  <dc:description/>
  <cp:lastModifiedBy>Boatman, Daniel</cp:lastModifiedBy>
  <cp:revision>42</cp:revision>
  <cp:lastPrinted>2007-07-19T16:16:00Z</cp:lastPrinted>
  <dcterms:created xsi:type="dcterms:W3CDTF">2018-02-26T19:35:00Z</dcterms:created>
  <dcterms:modified xsi:type="dcterms:W3CDTF">2021-05-17T16:40:00Z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0x0101009D49EEB31F44F24D912C851820D24907</vt:lpwstr>
  </property>
</Properties>
</file>