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5158" w14:textId="77777777" w:rsidR="00935219" w:rsidRDefault="00B42E8E" w:rsidP="00935219">
      <w:pPr>
        <w:tabs>
          <w:tab w:val="right" w:pos="8910"/>
        </w:tabs>
        <w:rPr>
          <w:b/>
          <w:i/>
          <w:color w:val="FF0000"/>
        </w:rPr>
      </w:pPr>
      <w:r w:rsidRPr="00780808">
        <w:rPr>
          <w:b/>
          <w:color w:val="FF0000"/>
        </w:rPr>
        <w:t>SPP</w:t>
      </w:r>
      <w:r w:rsidR="00D359AD" w:rsidRPr="00780808">
        <w:rPr>
          <w:b/>
          <w:color w:val="FF0000"/>
        </w:rPr>
        <w:t>00</w:t>
      </w:r>
      <w:r w:rsidRPr="00780808">
        <w:rPr>
          <w:b/>
          <w:color w:val="FF0000"/>
        </w:rPr>
        <w:t>495</w:t>
      </w:r>
      <w:r w:rsidR="00681C18" w:rsidRPr="00780808">
        <w:rPr>
          <w:b/>
          <w:color w:val="FF0000"/>
        </w:rPr>
        <w:t xml:space="preserve"> (</w:t>
      </w:r>
      <w:r w:rsidR="00D359AD" w:rsidRPr="00780808">
        <w:rPr>
          <w:b/>
          <w:color w:val="FF0000"/>
        </w:rPr>
        <w:t>0</w:t>
      </w:r>
      <w:r w:rsidR="002D2BD4">
        <w:rPr>
          <w:b/>
          <w:color w:val="FF0000"/>
        </w:rPr>
        <w:t>1</w:t>
      </w:r>
      <w:r w:rsidR="00343E3B" w:rsidRPr="00780808">
        <w:rPr>
          <w:b/>
          <w:color w:val="FF0000"/>
        </w:rPr>
        <w:t>-</w:t>
      </w:r>
      <w:r w:rsidR="002D2BD4">
        <w:rPr>
          <w:b/>
          <w:color w:val="FF0000"/>
        </w:rPr>
        <w:t>0</w:t>
      </w:r>
      <w:r w:rsidR="00780808" w:rsidRPr="00780808">
        <w:rPr>
          <w:b/>
          <w:color w:val="FF0000"/>
        </w:rPr>
        <w:t>1</w:t>
      </w:r>
      <w:r w:rsidR="00343E3B" w:rsidRPr="00780808">
        <w:rPr>
          <w:b/>
          <w:color w:val="FF0000"/>
        </w:rPr>
        <w:t>-</w:t>
      </w:r>
      <w:r w:rsidR="00A21E9B" w:rsidRPr="00780808">
        <w:rPr>
          <w:b/>
          <w:color w:val="FF0000"/>
        </w:rPr>
        <w:t>2</w:t>
      </w:r>
      <w:r w:rsidR="00343E3B" w:rsidRPr="00780808">
        <w:rPr>
          <w:b/>
          <w:color w:val="FF0000"/>
        </w:rPr>
        <w:t>1</w:t>
      </w:r>
      <w:r w:rsidR="00E94005" w:rsidRPr="00780808">
        <w:rPr>
          <w:b/>
          <w:color w:val="FF0000"/>
        </w:rPr>
        <w:t>)</w:t>
      </w:r>
      <w:r w:rsidR="00935219">
        <w:rPr>
          <w:b/>
          <w:color w:val="0000FF"/>
        </w:rPr>
        <w:tab/>
      </w:r>
      <w:r w:rsidR="00935219">
        <w:rPr>
          <w:b/>
          <w:i/>
          <w:color w:val="FF0000"/>
        </w:rPr>
        <w:t>(This Section requires SPP00744)</w:t>
      </w:r>
    </w:p>
    <w:p w14:paraId="1290983B" w14:textId="77777777" w:rsidR="00E94005" w:rsidRPr="008E0417" w:rsidRDefault="00E94005"/>
    <w:p w14:paraId="502CBB31" w14:textId="77777777" w:rsidR="000272ED" w:rsidRDefault="000272ED"/>
    <w:p w14:paraId="5F1623A3" w14:textId="77777777" w:rsidR="00E94005" w:rsidRPr="00875E16" w:rsidRDefault="00E94005" w:rsidP="00E03552">
      <w:pPr>
        <w:pStyle w:val="Heading3"/>
      </w:pPr>
      <w:r w:rsidRPr="00E03552">
        <w:t>S</w:t>
      </w:r>
      <w:r w:rsidR="00780808">
        <w:t>ection</w:t>
      </w:r>
      <w:r>
        <w:t xml:space="preserve"> 00495</w:t>
      </w:r>
      <w:r w:rsidR="00780808">
        <w:t xml:space="preserve"> </w:t>
      </w:r>
      <w:r>
        <w:t>-</w:t>
      </w:r>
      <w:r w:rsidR="00780808">
        <w:t xml:space="preserve"> </w:t>
      </w:r>
      <w:r>
        <w:t>T</w:t>
      </w:r>
      <w:r w:rsidR="00780808">
        <w:t>rench</w:t>
      </w:r>
      <w:r>
        <w:t xml:space="preserve"> R</w:t>
      </w:r>
      <w:r w:rsidR="00780808">
        <w:t>esurfacing</w:t>
      </w:r>
      <w:r w:rsidR="002E56C2" w:rsidRPr="00875E16">
        <w:fldChar w:fldCharType="begin"/>
      </w:r>
      <w:r w:rsidR="002E56C2" w:rsidRPr="00875E16">
        <w:instrText>TC "S</w:instrText>
      </w:r>
      <w:r w:rsidR="00780808">
        <w:instrText>ection</w:instrText>
      </w:r>
      <w:r w:rsidR="002E56C2" w:rsidRPr="00875E16">
        <w:instrText xml:space="preserve"> 00495</w:instrText>
      </w:r>
      <w:r w:rsidR="00780808">
        <w:instrText xml:space="preserve"> – </w:instrText>
      </w:r>
      <w:r w:rsidR="002E56C2" w:rsidRPr="00875E16">
        <w:instrText>T</w:instrText>
      </w:r>
      <w:r w:rsidR="00780808">
        <w:instrText xml:space="preserve">rench </w:instrText>
      </w:r>
      <w:r w:rsidR="002E56C2" w:rsidRPr="00875E16">
        <w:instrText>R</w:instrText>
      </w:r>
      <w:r w:rsidR="00780808">
        <w:instrText>esurfacing</w:instrText>
      </w:r>
      <w:r w:rsidR="002E56C2" w:rsidRPr="00875E16">
        <w:instrText>" \f C \l "</w:instrText>
      </w:r>
      <w:r w:rsidR="00AC1ACE">
        <w:instrText>2</w:instrText>
      </w:r>
      <w:r w:rsidR="002E56C2" w:rsidRPr="00875E16">
        <w:instrText xml:space="preserve">"  </w:instrText>
      </w:r>
      <w:r w:rsidR="002E56C2" w:rsidRPr="00875E16">
        <w:fldChar w:fldCharType="end"/>
      </w:r>
    </w:p>
    <w:p w14:paraId="6F620013" w14:textId="77777777" w:rsidR="00E94005" w:rsidRDefault="00E94005"/>
    <w:p w14:paraId="1DA9CD45" w14:textId="77777777" w:rsidR="00E94005" w:rsidRDefault="00E94005">
      <w:r>
        <w:t>Comply with Section 00495</w:t>
      </w:r>
      <w:r w:rsidR="00F46781">
        <w:t xml:space="preserve"> of the Standard Specifications modified as follows:</w:t>
      </w:r>
    </w:p>
    <w:p w14:paraId="163486FE" w14:textId="77777777" w:rsidR="00F46781" w:rsidRDefault="00F46781"/>
    <w:p w14:paraId="782B7737" w14:textId="77777777" w:rsidR="00A21E9B" w:rsidRPr="00F46781" w:rsidRDefault="00A21E9B" w:rsidP="00A21E9B">
      <w:pPr>
        <w:ind w:left="360"/>
        <w:rPr>
          <w:b/>
          <w:i/>
          <w:color w:val="FF0000"/>
        </w:rPr>
      </w:pPr>
      <w:r w:rsidRPr="00F46781">
        <w:rPr>
          <w:b/>
          <w:i/>
          <w:color w:val="FF0000"/>
        </w:rPr>
        <w:t>(Use the following subsection</w:t>
      </w:r>
      <w:r>
        <w:rPr>
          <w:b/>
          <w:i/>
          <w:color w:val="FF0000"/>
        </w:rPr>
        <w:t xml:space="preserve"> .40</w:t>
      </w:r>
      <w:r w:rsidRPr="00F46781">
        <w:rPr>
          <w:b/>
          <w:i/>
          <w:color w:val="FF0000"/>
        </w:rPr>
        <w:t xml:space="preserve"> when using the trench resurfacing bid item to replace pavement in front of new curb construction)</w:t>
      </w:r>
    </w:p>
    <w:p w14:paraId="36897AFB" w14:textId="77777777" w:rsidR="00A21E9B" w:rsidRDefault="00A21E9B" w:rsidP="00A21E9B"/>
    <w:p w14:paraId="533FCEB7" w14:textId="77777777" w:rsidR="00A21E9B" w:rsidRDefault="00A21E9B" w:rsidP="00A21E9B">
      <w:r w:rsidRPr="00F46781">
        <w:rPr>
          <w:b/>
        </w:rPr>
        <w:t>00495.40</w:t>
      </w:r>
      <w:r w:rsidRPr="00F46781">
        <w:rPr>
          <w:b/>
        </w:rPr>
        <w:tab/>
        <w:t>General</w:t>
      </w:r>
      <w:r>
        <w:t xml:space="preserve"> - Add the following</w:t>
      </w:r>
      <w:r w:rsidR="00F81D3A">
        <w:t xml:space="preserve"> to the end of the first paragraph.</w:t>
      </w:r>
    </w:p>
    <w:p w14:paraId="51EA3306" w14:textId="77777777" w:rsidR="00A21E9B" w:rsidRDefault="00A21E9B" w:rsidP="00A21E9B"/>
    <w:p w14:paraId="20B44047" w14:textId="77777777" w:rsidR="00A21E9B" w:rsidRDefault="00A21E9B" w:rsidP="00A21E9B">
      <w:r>
        <w:t>Construct the MHMAC pavement section in front of the curb replacement as shown</w:t>
      </w:r>
      <w:r w:rsidR="00F81D3A">
        <w:t xml:space="preserve"> in the Contract Documents or as directed</w:t>
      </w:r>
      <w:r>
        <w:t>.</w:t>
      </w:r>
    </w:p>
    <w:p w14:paraId="3E12A821" w14:textId="77777777" w:rsidR="00A21E9B" w:rsidRDefault="00A21E9B" w:rsidP="00A21E9B"/>
    <w:p w14:paraId="6CC8C6A3" w14:textId="77777777" w:rsidR="00030D46" w:rsidRPr="00F46781" w:rsidRDefault="00030D46" w:rsidP="00ED242D">
      <w:pPr>
        <w:ind w:left="360"/>
        <w:rPr>
          <w:b/>
          <w:i/>
          <w:color w:val="FF0000"/>
        </w:rPr>
      </w:pPr>
      <w:r w:rsidRPr="00F46781">
        <w:rPr>
          <w:b/>
          <w:i/>
          <w:color w:val="FF0000"/>
        </w:rPr>
        <w:t xml:space="preserve">(Use the following </w:t>
      </w:r>
      <w:r>
        <w:rPr>
          <w:b/>
          <w:i/>
          <w:color w:val="FF0000"/>
        </w:rPr>
        <w:t>subsection .42 when not showing pavement replacement section in plans</w:t>
      </w:r>
      <w:r w:rsidRPr="00ED242D">
        <w:rPr>
          <w:b/>
          <w:i/>
          <w:color w:val="FF0000"/>
        </w:rPr>
        <w:t>.</w:t>
      </w:r>
      <w:r w:rsidR="00ED242D" w:rsidRPr="00977FE0">
        <w:rPr>
          <w:rFonts w:ascii="Calibri" w:eastAsia="Calibri" w:hAnsi="Calibri"/>
          <w:color w:val="4472C4"/>
          <w:szCs w:val="22"/>
        </w:rPr>
        <w:t xml:space="preserve"> </w:t>
      </w:r>
      <w:r w:rsidR="00ED242D" w:rsidRPr="00ED242D">
        <w:rPr>
          <w:b/>
          <w:i/>
          <w:color w:val="FF0000"/>
        </w:rPr>
        <w:t>Designer to add street</w:t>
      </w:r>
      <w:r w:rsidR="00ED242D" w:rsidRPr="00977FE0">
        <w:rPr>
          <w:rFonts w:ascii="Calibri" w:eastAsia="Calibri" w:hAnsi="Calibri"/>
          <w:color w:val="4472C4"/>
          <w:szCs w:val="22"/>
        </w:rPr>
        <w:t xml:space="preserve"> </w:t>
      </w:r>
      <w:r w:rsidR="00ED242D">
        <w:rPr>
          <w:b/>
          <w:i/>
          <w:color w:val="FF0000"/>
        </w:rPr>
        <w:t>with</w:t>
      </w:r>
      <w:r w:rsidR="00ED242D" w:rsidRPr="00ED242D">
        <w:rPr>
          <w:b/>
          <w:i/>
          <w:color w:val="FF0000"/>
        </w:rPr>
        <w:t xml:space="preserve"> pavement moratorium. See TRN 10.41 for pavement restoration requirements:</w:t>
      </w:r>
      <w:r w:rsidR="00ED242D">
        <w:rPr>
          <w:b/>
          <w:i/>
          <w:color w:val="FF0000"/>
        </w:rPr>
        <w:t xml:space="preserve"> </w:t>
      </w:r>
      <w:proofErr w:type="gramStart"/>
      <w:r w:rsidR="00ED242D" w:rsidRPr="00ED242D">
        <w:rPr>
          <w:b/>
          <w:i/>
          <w:color w:val="FF0000"/>
        </w:rPr>
        <w:t>https://www.portlandoregon.gov/citycode/article/43268</w:t>
      </w:r>
      <w:r w:rsidR="00ED242D">
        <w:rPr>
          <w:b/>
          <w:i/>
          <w:color w:val="FF0000"/>
        </w:rPr>
        <w:t xml:space="preserve"> </w:t>
      </w:r>
      <w:r>
        <w:rPr>
          <w:b/>
          <w:i/>
          <w:color w:val="FF0000"/>
        </w:rPr>
        <w:t>)</w:t>
      </w:r>
      <w:proofErr w:type="gramEnd"/>
    </w:p>
    <w:p w14:paraId="6D795472" w14:textId="77777777" w:rsidR="00030D46" w:rsidRDefault="00030D46" w:rsidP="00F81D3A">
      <w:pPr>
        <w:rPr>
          <w:b/>
        </w:rPr>
      </w:pPr>
    </w:p>
    <w:p w14:paraId="62A995B8" w14:textId="77777777" w:rsidR="00F81D3A" w:rsidRPr="00F81D3A" w:rsidRDefault="00F81D3A" w:rsidP="00F81D3A">
      <w:pPr>
        <w:rPr>
          <w:bCs/>
        </w:rPr>
      </w:pPr>
      <w:r w:rsidRPr="00F81D3A">
        <w:rPr>
          <w:bCs/>
        </w:rPr>
        <w:t>Add the following subsection</w:t>
      </w:r>
      <w:r>
        <w:rPr>
          <w:bCs/>
        </w:rPr>
        <w:t>.</w:t>
      </w:r>
      <w:r w:rsidRPr="00F81D3A">
        <w:rPr>
          <w:bCs/>
        </w:rPr>
        <w:t xml:space="preserve"> </w:t>
      </w:r>
    </w:p>
    <w:p w14:paraId="1EE19ADF" w14:textId="77777777" w:rsidR="00F81D3A" w:rsidRDefault="00F81D3A" w:rsidP="00F81D3A">
      <w:pPr>
        <w:rPr>
          <w:b/>
        </w:rPr>
      </w:pPr>
    </w:p>
    <w:p w14:paraId="4FFF2D7C" w14:textId="77777777" w:rsidR="00030D46" w:rsidRDefault="00030D46" w:rsidP="00F81D3A">
      <w:r w:rsidRPr="00F46781">
        <w:rPr>
          <w:b/>
        </w:rPr>
        <w:t>00495.</w:t>
      </w:r>
      <w:r>
        <w:rPr>
          <w:b/>
        </w:rPr>
        <w:t>42</w:t>
      </w:r>
      <w:r w:rsidRPr="00F46781">
        <w:rPr>
          <w:b/>
        </w:rPr>
        <w:tab/>
      </w:r>
      <w:r>
        <w:rPr>
          <w:b/>
        </w:rPr>
        <w:t>Permanent Resurfacing</w:t>
      </w:r>
      <w:r>
        <w:t xml:space="preserve"> - Resurface all trenches and excavations as shown in the following table:</w:t>
      </w:r>
    </w:p>
    <w:p w14:paraId="0B80CB09" w14:textId="77777777" w:rsidR="00D359AD" w:rsidRDefault="00D359AD" w:rsidP="00030D46"/>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680"/>
      </w:tblGrid>
      <w:tr w:rsidR="00D359AD" w:rsidRPr="003B50AA" w14:paraId="1A78A38D" w14:textId="77777777" w:rsidTr="00F26A8E">
        <w:trPr>
          <w:cantSplit/>
          <w:trHeight w:val="229"/>
          <w:tblHeader/>
        </w:trPr>
        <w:tc>
          <w:tcPr>
            <w:tcW w:w="4878" w:type="dxa"/>
            <w:shd w:val="clear" w:color="auto" w:fill="auto"/>
          </w:tcPr>
          <w:p w14:paraId="66F9DBB4" w14:textId="77777777" w:rsidR="00D359AD" w:rsidRPr="00F26A8E" w:rsidRDefault="00D359AD" w:rsidP="00F26A8E">
            <w:pPr>
              <w:spacing w:before="60" w:after="60"/>
              <w:jc w:val="center"/>
              <w:rPr>
                <w:b/>
              </w:rPr>
            </w:pPr>
            <w:r w:rsidRPr="00F26A8E">
              <w:rPr>
                <w:b/>
              </w:rPr>
              <w:t xml:space="preserve">Location                </w:t>
            </w:r>
          </w:p>
        </w:tc>
        <w:tc>
          <w:tcPr>
            <w:tcW w:w="4680" w:type="dxa"/>
            <w:shd w:val="clear" w:color="auto" w:fill="auto"/>
          </w:tcPr>
          <w:p w14:paraId="1A6E7484" w14:textId="77777777" w:rsidR="00D359AD" w:rsidRPr="00F26A8E" w:rsidRDefault="00D359AD" w:rsidP="00F26A8E">
            <w:pPr>
              <w:spacing w:before="60" w:after="60"/>
              <w:jc w:val="center"/>
              <w:rPr>
                <w:b/>
              </w:rPr>
            </w:pPr>
            <w:r w:rsidRPr="00F26A8E">
              <w:rPr>
                <w:b/>
              </w:rPr>
              <w:t>Resurfacing Material</w:t>
            </w:r>
          </w:p>
        </w:tc>
      </w:tr>
      <w:tr w:rsidR="00D359AD" w:rsidRPr="003B50AA" w14:paraId="5C2583E6" w14:textId="77777777" w:rsidTr="00F26A8E">
        <w:trPr>
          <w:trHeight w:val="112"/>
        </w:trPr>
        <w:tc>
          <w:tcPr>
            <w:tcW w:w="4878" w:type="dxa"/>
            <w:shd w:val="clear" w:color="auto" w:fill="auto"/>
          </w:tcPr>
          <w:p w14:paraId="21272986" w14:textId="77777777" w:rsidR="00D359AD" w:rsidRPr="003B50AA" w:rsidRDefault="00D359AD" w:rsidP="00F26A8E">
            <w:pPr>
              <w:spacing w:before="60" w:after="60"/>
              <w:jc w:val="left"/>
            </w:pPr>
          </w:p>
        </w:tc>
        <w:tc>
          <w:tcPr>
            <w:tcW w:w="4680" w:type="dxa"/>
            <w:shd w:val="clear" w:color="auto" w:fill="auto"/>
          </w:tcPr>
          <w:p w14:paraId="7670B039" w14:textId="77777777" w:rsidR="00D359AD" w:rsidRPr="003B50AA" w:rsidRDefault="00D359AD" w:rsidP="00F26A8E">
            <w:pPr>
              <w:spacing w:before="60" w:after="60"/>
              <w:jc w:val="left"/>
            </w:pPr>
          </w:p>
        </w:tc>
      </w:tr>
      <w:tr w:rsidR="00D359AD" w:rsidRPr="003B50AA" w14:paraId="1F05AC60" w14:textId="77777777" w:rsidTr="00F26A8E">
        <w:trPr>
          <w:trHeight w:val="118"/>
        </w:trPr>
        <w:tc>
          <w:tcPr>
            <w:tcW w:w="4878" w:type="dxa"/>
            <w:shd w:val="clear" w:color="auto" w:fill="auto"/>
          </w:tcPr>
          <w:p w14:paraId="2641FEE0" w14:textId="77777777" w:rsidR="00D359AD" w:rsidRPr="003B50AA" w:rsidRDefault="00D359AD" w:rsidP="00F26A8E">
            <w:pPr>
              <w:spacing w:before="60" w:after="60"/>
              <w:jc w:val="left"/>
            </w:pPr>
          </w:p>
        </w:tc>
        <w:tc>
          <w:tcPr>
            <w:tcW w:w="4680" w:type="dxa"/>
            <w:shd w:val="clear" w:color="auto" w:fill="auto"/>
          </w:tcPr>
          <w:p w14:paraId="4CDB9591" w14:textId="77777777" w:rsidR="00D359AD" w:rsidRPr="003B50AA" w:rsidRDefault="00D359AD" w:rsidP="00F26A8E">
            <w:pPr>
              <w:spacing w:before="60" w:after="60"/>
              <w:jc w:val="left"/>
            </w:pPr>
          </w:p>
        </w:tc>
      </w:tr>
      <w:tr w:rsidR="00D359AD" w:rsidRPr="003B50AA" w14:paraId="2086AE71" w14:textId="77777777" w:rsidTr="00F26A8E">
        <w:trPr>
          <w:trHeight w:val="118"/>
        </w:trPr>
        <w:tc>
          <w:tcPr>
            <w:tcW w:w="4878" w:type="dxa"/>
            <w:shd w:val="clear" w:color="auto" w:fill="auto"/>
          </w:tcPr>
          <w:p w14:paraId="37B2AA67" w14:textId="77777777" w:rsidR="00D359AD" w:rsidRPr="003B50AA" w:rsidRDefault="00D359AD" w:rsidP="00F26A8E">
            <w:pPr>
              <w:spacing w:before="60" w:after="60"/>
              <w:jc w:val="left"/>
            </w:pPr>
          </w:p>
        </w:tc>
        <w:tc>
          <w:tcPr>
            <w:tcW w:w="4680" w:type="dxa"/>
            <w:shd w:val="clear" w:color="auto" w:fill="auto"/>
          </w:tcPr>
          <w:p w14:paraId="5C400EDA" w14:textId="77777777" w:rsidR="00D359AD" w:rsidRPr="003B50AA" w:rsidRDefault="00D359AD" w:rsidP="00F26A8E">
            <w:pPr>
              <w:spacing w:before="60" w:after="60"/>
              <w:jc w:val="left"/>
            </w:pPr>
          </w:p>
        </w:tc>
      </w:tr>
    </w:tbl>
    <w:p w14:paraId="69DEF872" w14:textId="77777777" w:rsidR="004229E8" w:rsidRPr="000272ED" w:rsidRDefault="004229E8" w:rsidP="000272ED">
      <w:pPr>
        <w:rPr>
          <w:rFonts w:cs="Arial"/>
          <w:szCs w:val="22"/>
        </w:rPr>
      </w:pPr>
      <w:r w:rsidRPr="000272ED">
        <w:rPr>
          <w:rFonts w:cs="Arial"/>
          <w:szCs w:val="22"/>
        </w:rPr>
        <w:t>Estimated pavement restoration quantities include area shown in the Estimated Additional Pavement Markup in the Appendix.</w:t>
      </w:r>
    </w:p>
    <w:p w14:paraId="29EE0DA0" w14:textId="77777777" w:rsidR="00B526A4" w:rsidRDefault="00B526A4" w:rsidP="00B526A4"/>
    <w:p w14:paraId="2C8D6F4B" w14:textId="77777777" w:rsidR="00B526A4" w:rsidRPr="00B526A4" w:rsidRDefault="00B526A4" w:rsidP="00B526A4">
      <w:pPr>
        <w:ind w:left="360"/>
        <w:rPr>
          <w:b/>
          <w:i/>
          <w:color w:val="FF0000"/>
        </w:rPr>
      </w:pPr>
      <w:r>
        <w:rPr>
          <w:b/>
          <w:i/>
          <w:color w:val="FF0000"/>
        </w:rPr>
        <w:t>(Use for BES projects.</w:t>
      </w:r>
      <w:r w:rsidR="00720AAF">
        <w:rPr>
          <w:b/>
          <w:i/>
          <w:color w:val="FF0000"/>
        </w:rPr>
        <w:t xml:space="preserve"> If pavement core drilling log does</w:t>
      </w:r>
      <w:r w:rsidR="002D2BD4">
        <w:rPr>
          <w:b/>
          <w:i/>
          <w:color w:val="FF0000"/>
        </w:rPr>
        <w:t xml:space="preserve"> NOT</w:t>
      </w:r>
      <w:r w:rsidR="00720AAF">
        <w:rPr>
          <w:b/>
          <w:i/>
          <w:color w:val="FF0000"/>
        </w:rPr>
        <w:t xml:space="preserve"> exist, reference pothole results.</w:t>
      </w:r>
      <w:r>
        <w:rPr>
          <w:b/>
          <w:i/>
          <w:color w:val="FF0000"/>
        </w:rPr>
        <w:t>)</w:t>
      </w:r>
    </w:p>
    <w:p w14:paraId="48F3649D" w14:textId="77777777" w:rsidR="00B526A4" w:rsidRPr="00531E9D" w:rsidRDefault="00B526A4" w:rsidP="00B526A4"/>
    <w:p w14:paraId="3C67C91B" w14:textId="77777777" w:rsidR="00B526A4" w:rsidRDefault="00B526A4" w:rsidP="00B526A4">
      <w:r w:rsidRPr="00531E9D">
        <w:t xml:space="preserve">(For the information regarding the existing pavement, refer to pavement </w:t>
      </w:r>
      <w:r w:rsidR="00276583">
        <w:t>c</w:t>
      </w:r>
      <w:r w:rsidRPr="00531E9D">
        <w:t xml:space="preserve">ore </w:t>
      </w:r>
      <w:r w:rsidR="00276583">
        <w:t>d</w:t>
      </w:r>
      <w:r w:rsidRPr="00531E9D">
        <w:t xml:space="preserve">rilling log provided in </w:t>
      </w:r>
      <w:r w:rsidR="00B12209">
        <w:t xml:space="preserve">the </w:t>
      </w:r>
      <w:r w:rsidRPr="00531E9D">
        <w:t>Appendix.)</w:t>
      </w:r>
    </w:p>
    <w:p w14:paraId="749AE420" w14:textId="77777777" w:rsidR="00B526A4" w:rsidRDefault="00B526A4" w:rsidP="00B526A4"/>
    <w:p w14:paraId="752E9F3A" w14:textId="77777777" w:rsidR="00A21E9B" w:rsidRPr="000272ED" w:rsidRDefault="00A21E9B" w:rsidP="00A21E9B">
      <w:r w:rsidRPr="000272ED">
        <w:t>Add the following subsection:</w:t>
      </w:r>
    </w:p>
    <w:p w14:paraId="189F5ACD" w14:textId="77777777" w:rsidR="00A21E9B" w:rsidRPr="000272ED" w:rsidRDefault="00A21E9B" w:rsidP="00A21E9B">
      <w:pPr>
        <w:rPr>
          <w:b/>
        </w:rPr>
      </w:pPr>
    </w:p>
    <w:p w14:paraId="346B1F26" w14:textId="77777777" w:rsidR="00A21E9B" w:rsidRPr="000272ED" w:rsidRDefault="00A21E9B" w:rsidP="00A21E9B">
      <w:r w:rsidRPr="000272ED">
        <w:rPr>
          <w:b/>
        </w:rPr>
        <w:t>00495.45</w:t>
      </w:r>
      <w:r w:rsidRPr="000272ED">
        <w:rPr>
          <w:b/>
        </w:rPr>
        <w:tab/>
        <w:t>Replacement of Damaged Pavemen</w:t>
      </w:r>
      <w:r w:rsidR="00F81D3A">
        <w:rPr>
          <w:b/>
        </w:rPr>
        <w:t>t</w:t>
      </w:r>
      <w:r w:rsidRPr="000272ED">
        <w:t xml:space="preserve"> - </w:t>
      </w:r>
      <w:r w:rsidR="00436AE8" w:rsidRPr="000272ED">
        <w:t xml:space="preserve">Notify </w:t>
      </w:r>
      <w:r w:rsidR="00F81D3A">
        <w:t xml:space="preserve">the </w:t>
      </w:r>
      <w:r w:rsidR="00436AE8" w:rsidRPr="000272ED">
        <w:t xml:space="preserve">Owner of any damaged pavement and meet with Owner’s Representative to determine </w:t>
      </w:r>
      <w:r w:rsidRPr="000272ED">
        <w:t xml:space="preserve">final saw cut </w:t>
      </w:r>
      <w:r w:rsidR="00F81D3A" w:rsidRPr="000272ED">
        <w:t>boundaries and</w:t>
      </w:r>
      <w:r w:rsidR="00436AE8" w:rsidRPr="000272ED">
        <w:t xml:space="preserve"> identify </w:t>
      </w:r>
      <w:r w:rsidRPr="000272ED">
        <w:rPr>
          <w:rFonts w:cs="Arial"/>
          <w:szCs w:val="22"/>
        </w:rPr>
        <w:t>trench resurfacing limits. Extend resurfacing to competent existing pavement where a clean joint or cut can be made and where the remaining section of existing pavement is large enough to remain stable under normal street loads.  Complete all saw cuts according to 00405.48(d).</w:t>
      </w:r>
    </w:p>
    <w:p w14:paraId="0C96C2E2" w14:textId="77777777" w:rsidR="00A21E9B" w:rsidRPr="000272ED" w:rsidRDefault="00A21E9B" w:rsidP="00A21E9B"/>
    <w:p w14:paraId="0EBF15EC" w14:textId="77777777" w:rsidR="00436AE8" w:rsidRPr="008F7436" w:rsidRDefault="00436AE8" w:rsidP="00436AE8">
      <w:pPr>
        <w:jc w:val="center"/>
        <w:rPr>
          <w:rFonts w:ascii="Calibri" w:hAnsi="Calibri"/>
          <w:b/>
          <w:bCs/>
          <w:i/>
          <w:iCs/>
          <w:color w:val="FF0000"/>
        </w:rPr>
      </w:pPr>
      <w:r w:rsidRPr="008F7436">
        <w:rPr>
          <w:b/>
          <w:bCs/>
          <w:i/>
          <w:iCs/>
          <w:color w:val="FF0000"/>
        </w:rPr>
        <w:t>(Use the following when no additional pavement plan is needed.)</w:t>
      </w:r>
    </w:p>
    <w:p w14:paraId="53B8AC97" w14:textId="77777777" w:rsidR="00436AE8" w:rsidRDefault="00436AE8" w:rsidP="00436AE8"/>
    <w:p w14:paraId="6EC1FCFC" w14:textId="77777777" w:rsidR="00436AE8" w:rsidRPr="000272ED" w:rsidRDefault="00436AE8" w:rsidP="000272ED">
      <w:pPr>
        <w:numPr>
          <w:ilvl w:val="0"/>
          <w:numId w:val="19"/>
        </w:numPr>
        <w:ind w:left="720"/>
        <w:rPr>
          <w:rFonts w:cs="Arial"/>
          <w:bCs/>
          <w:szCs w:val="22"/>
        </w:rPr>
      </w:pPr>
      <w:r w:rsidRPr="000272ED">
        <w:rPr>
          <w:rFonts w:cs="Arial"/>
          <w:b/>
          <w:szCs w:val="22"/>
        </w:rPr>
        <w:lastRenderedPageBreak/>
        <w:t xml:space="preserve">Pre-existing Damaged Pavement - </w:t>
      </w:r>
      <w:r w:rsidRPr="000272ED">
        <w:rPr>
          <w:rFonts w:cs="Arial"/>
          <w:bCs/>
          <w:szCs w:val="22"/>
        </w:rPr>
        <w:t>Final pavement restoration must comply with PBOT Pavement Restoration Standards. The final restoration area will be determined on site by Owner’s Representative. The Owner may identify additional restoration areas based upon field observation.</w:t>
      </w:r>
    </w:p>
    <w:p w14:paraId="2313517A" w14:textId="77777777" w:rsidR="00436AE8" w:rsidRPr="00693606" w:rsidRDefault="00436AE8" w:rsidP="00693606">
      <w:pPr>
        <w:ind w:left="1620"/>
        <w:rPr>
          <w:rFonts w:cs="Arial"/>
          <w:bCs/>
        </w:rPr>
      </w:pPr>
    </w:p>
    <w:p w14:paraId="37296799" w14:textId="77777777" w:rsidR="00B739DC" w:rsidRPr="008F7436" w:rsidRDefault="00B739DC" w:rsidP="00B739DC">
      <w:pPr>
        <w:jc w:val="center"/>
        <w:rPr>
          <w:b/>
          <w:bCs/>
          <w:i/>
          <w:iCs/>
          <w:color w:val="FF0000"/>
        </w:rPr>
      </w:pPr>
      <w:r>
        <w:rPr>
          <w:b/>
          <w:bCs/>
          <w:i/>
          <w:iCs/>
          <w:color w:val="FF0000"/>
        </w:rPr>
        <w:t>(Use the following w</w:t>
      </w:r>
      <w:r w:rsidRPr="008F7436">
        <w:rPr>
          <w:b/>
          <w:bCs/>
          <w:i/>
          <w:iCs/>
          <w:color w:val="FF0000"/>
        </w:rPr>
        <w:t>hen an additional pavement restoration plan is in the bid book appendix</w:t>
      </w:r>
      <w:r>
        <w:rPr>
          <w:b/>
          <w:bCs/>
          <w:i/>
          <w:iCs/>
          <w:color w:val="FF0000"/>
        </w:rPr>
        <w:t xml:space="preserve">. </w:t>
      </w:r>
      <w:r w:rsidRPr="008F7436">
        <w:rPr>
          <w:b/>
          <w:bCs/>
          <w:i/>
          <w:iCs/>
          <w:color w:val="FF0000"/>
        </w:rPr>
        <w:t>Note: This is old language that needs cleaning, but the idea is there)</w:t>
      </w:r>
    </w:p>
    <w:p w14:paraId="4A782DDA" w14:textId="77777777" w:rsidR="00B739DC" w:rsidRDefault="00B739DC" w:rsidP="00B739DC"/>
    <w:p w14:paraId="7F83D2CB" w14:textId="77777777" w:rsidR="00B739DC" w:rsidRDefault="00B739DC" w:rsidP="000272ED">
      <w:pPr>
        <w:numPr>
          <w:ilvl w:val="0"/>
          <w:numId w:val="18"/>
        </w:numPr>
        <w:rPr>
          <w:rFonts w:cs="Arial"/>
        </w:rPr>
      </w:pPr>
      <w:r>
        <w:rPr>
          <w:b/>
          <w:bCs/>
        </w:rPr>
        <w:t>Pre-existing Damaged Pavement</w:t>
      </w:r>
      <w:r>
        <w:t xml:space="preserve"> - Final pavement restoration must comply with the Contract Documents. A Pavement Markup plan “Estimated Additional Pavement Restoration” is included as in the Appendix </w:t>
      </w:r>
      <w:r w:rsidRPr="00B739DC">
        <w:rPr>
          <w:highlight w:val="yellow"/>
        </w:rPr>
        <w:t>X</w:t>
      </w:r>
      <w:r>
        <w:t xml:space="preserve"> for reference showing the preconstruction estimated paving restoration limits beyond trench restoration requirements. Limits shown are an approximation. The final resurfacing area will be determined on site by Owner’s Representative. Estimated bid quantities include both the standard trench restoration limits and any additional pavement shown in the Estimated Additional Pavement Restoration plan.</w:t>
      </w:r>
    </w:p>
    <w:p w14:paraId="7F3AA456" w14:textId="77777777" w:rsidR="00B739DC" w:rsidRDefault="00B739DC" w:rsidP="00B739DC"/>
    <w:p w14:paraId="07BF7B58" w14:textId="77777777" w:rsidR="00B739DC" w:rsidRDefault="00B739DC" w:rsidP="00B739DC">
      <w:pPr>
        <w:jc w:val="center"/>
        <w:rPr>
          <w:b/>
          <w:bCs/>
          <w:i/>
          <w:iCs/>
          <w:color w:val="FF0000"/>
        </w:rPr>
      </w:pPr>
      <w:r>
        <w:rPr>
          <w:b/>
          <w:bCs/>
          <w:i/>
          <w:iCs/>
          <w:color w:val="FF0000"/>
        </w:rPr>
        <w:t>(Use the following w</w:t>
      </w:r>
      <w:r w:rsidRPr="008F7436">
        <w:rPr>
          <w:b/>
          <w:bCs/>
          <w:i/>
          <w:iCs/>
          <w:color w:val="FF0000"/>
        </w:rPr>
        <w:t xml:space="preserve">hen an additional pavement restoration plan is </w:t>
      </w:r>
      <w:proofErr w:type="gramStart"/>
      <w:r w:rsidRPr="008F7436">
        <w:rPr>
          <w:b/>
          <w:bCs/>
          <w:i/>
          <w:iCs/>
          <w:color w:val="FF0000"/>
        </w:rPr>
        <w:t>online</w:t>
      </w:r>
      <w:proofErr w:type="gramEnd"/>
      <w:r w:rsidRPr="008F7436">
        <w:rPr>
          <w:b/>
          <w:bCs/>
          <w:i/>
          <w:iCs/>
          <w:color w:val="FF0000"/>
        </w:rPr>
        <w:t xml:space="preserve"> and a link is provided</w:t>
      </w:r>
      <w:r>
        <w:rPr>
          <w:b/>
          <w:bCs/>
          <w:i/>
          <w:iCs/>
          <w:color w:val="FF0000"/>
        </w:rPr>
        <w:t xml:space="preserve">. </w:t>
      </w:r>
      <w:r w:rsidRPr="008F7436">
        <w:rPr>
          <w:b/>
          <w:bCs/>
          <w:i/>
          <w:iCs/>
          <w:color w:val="FF0000"/>
        </w:rPr>
        <w:t>Note: Language needs updating)</w:t>
      </w:r>
    </w:p>
    <w:p w14:paraId="57EB9B6F" w14:textId="77777777" w:rsidR="002D2BD4" w:rsidRPr="002D2BD4" w:rsidRDefault="002D2BD4" w:rsidP="002D2BD4"/>
    <w:p w14:paraId="04B6E192" w14:textId="77777777" w:rsidR="00B739DC" w:rsidRDefault="00B739DC" w:rsidP="002D2BD4">
      <w:pPr>
        <w:numPr>
          <w:ilvl w:val="0"/>
          <w:numId w:val="20"/>
        </w:numPr>
        <w:rPr>
          <w:rFonts w:cs="Arial"/>
        </w:rPr>
      </w:pPr>
      <w:r>
        <w:rPr>
          <w:b/>
          <w:bCs/>
        </w:rPr>
        <w:t>Pre-existing Damaged Pavement</w:t>
      </w:r>
      <w:r>
        <w:t xml:space="preserve"> - Final pavement restoration must comply with the Contract Documents. A Pavement Markup plan, “Estimated Additional Pavement Restoration”, is available for reference only at the following location:</w:t>
      </w:r>
    </w:p>
    <w:p w14:paraId="76F85542" w14:textId="77777777" w:rsidR="00B739DC" w:rsidRDefault="00B739DC" w:rsidP="00B739DC">
      <w:pPr>
        <w:ind w:left="720"/>
        <w:rPr>
          <w:rFonts w:ascii="Calibri" w:hAnsi="Calibri" w:cs="Calibri"/>
        </w:rPr>
      </w:pPr>
    </w:p>
    <w:p w14:paraId="2FEBC029" w14:textId="77777777" w:rsidR="00B739DC" w:rsidRDefault="00B739DC" w:rsidP="00B739DC">
      <w:pPr>
        <w:rPr>
          <w:rStyle w:val="Hyperlink"/>
        </w:rPr>
      </w:pPr>
      <w:hyperlink r:id="rId10" w:history="1">
        <w:r w:rsidRPr="00C068C6">
          <w:rPr>
            <w:rStyle w:val="Hyperlink"/>
            <w:highlight w:val="yellow"/>
          </w:rPr>
          <w:t>https://drive.google.com/file/d/1pS7EidYNktoUc9Yx_OlX607jHruCRo0h/view?usp=sharing</w:t>
        </w:r>
      </w:hyperlink>
    </w:p>
    <w:p w14:paraId="0237B00D" w14:textId="77777777" w:rsidR="00B739DC" w:rsidRDefault="00B739DC" w:rsidP="00B739DC">
      <w:pPr>
        <w:rPr>
          <w:color w:val="FF0000"/>
        </w:rPr>
      </w:pPr>
      <w:r>
        <w:rPr>
          <w:rStyle w:val="Hyperlink"/>
          <w:color w:val="FF0000"/>
        </w:rPr>
        <w:t>REPLACE LINK TO BE SPECIFIC TO PROJECT</w:t>
      </w:r>
    </w:p>
    <w:p w14:paraId="2D699D51" w14:textId="77777777" w:rsidR="00B739DC" w:rsidRDefault="00B739DC" w:rsidP="00B739DC">
      <w:pPr>
        <w:ind w:left="720"/>
      </w:pPr>
    </w:p>
    <w:p w14:paraId="47C507EA" w14:textId="77777777" w:rsidR="00B739DC" w:rsidRDefault="00B739DC" w:rsidP="00B739DC">
      <w:pPr>
        <w:ind w:left="720"/>
      </w:pPr>
      <w:r>
        <w:t>The Estimated Additional Pavement Restoration plan shows the estimated paving restoration extents beyond trench restoration requirements, which were estimated prior to construction. Limits shown are an approximation. The final resurfacing area will be determined on site by Owner’s Representative. Estimated bid quantities include both the standard trench restoration extents and any additional pavement shown in the Estimated Additional Pavement Restoration plan.</w:t>
      </w:r>
    </w:p>
    <w:p w14:paraId="6CCD8488" w14:textId="77777777" w:rsidR="00B739DC" w:rsidRPr="004A38E4" w:rsidRDefault="00B739DC" w:rsidP="00693606">
      <w:pPr>
        <w:ind w:left="720" w:hanging="720"/>
        <w:rPr>
          <w:rFonts w:cs="Arial"/>
          <w:b/>
          <w:szCs w:val="22"/>
        </w:rPr>
      </w:pPr>
    </w:p>
    <w:p w14:paraId="23623E28" w14:textId="77777777" w:rsidR="00A21E9B" w:rsidRPr="000272ED" w:rsidRDefault="00A21E9B" w:rsidP="002D2BD4">
      <w:pPr>
        <w:ind w:left="720" w:hanging="360"/>
        <w:rPr>
          <w:rFonts w:cs="Arial"/>
          <w:szCs w:val="22"/>
        </w:rPr>
      </w:pPr>
      <w:r w:rsidRPr="000272ED">
        <w:rPr>
          <w:rFonts w:cs="Arial"/>
          <w:b/>
          <w:szCs w:val="22"/>
        </w:rPr>
        <w:t>(b)</w:t>
      </w:r>
      <w:r w:rsidRPr="000272ED">
        <w:rPr>
          <w:rFonts w:cs="Arial"/>
          <w:b/>
          <w:szCs w:val="22"/>
        </w:rPr>
        <w:tab/>
        <w:t>Contractor Damaged Pavement</w:t>
      </w:r>
      <w:r w:rsidRPr="000272ED">
        <w:rPr>
          <w:rFonts w:cs="Arial"/>
          <w:szCs w:val="22"/>
        </w:rPr>
        <w:t xml:space="preserve"> </w:t>
      </w:r>
      <w:r w:rsidR="00B739DC" w:rsidRPr="000272ED">
        <w:rPr>
          <w:rFonts w:cs="Arial"/>
          <w:szCs w:val="22"/>
        </w:rPr>
        <w:t>–</w:t>
      </w:r>
      <w:r w:rsidRPr="000272ED">
        <w:rPr>
          <w:rFonts w:cs="Arial"/>
          <w:szCs w:val="22"/>
        </w:rPr>
        <w:t xml:space="preserve"> </w:t>
      </w:r>
      <w:r w:rsidR="00B739DC" w:rsidRPr="000272ED">
        <w:rPr>
          <w:rFonts w:cs="Arial"/>
          <w:szCs w:val="22"/>
        </w:rPr>
        <w:t>Notify owner of any pavement damaged by Contractor</w:t>
      </w:r>
      <w:r w:rsidRPr="000272ED">
        <w:rPr>
          <w:rFonts w:cs="Arial"/>
          <w:szCs w:val="22"/>
        </w:rPr>
        <w:t xml:space="preserve"> and mark any areas of pavement damaged in performing the work. </w:t>
      </w:r>
    </w:p>
    <w:p w14:paraId="0AF75BFA" w14:textId="77777777" w:rsidR="00A21E9B" w:rsidRPr="004A38E4" w:rsidRDefault="00A21E9B" w:rsidP="00A21E9B">
      <w:pPr>
        <w:rPr>
          <w:rFonts w:cs="Arial"/>
          <w:szCs w:val="22"/>
        </w:rPr>
      </w:pPr>
    </w:p>
    <w:p w14:paraId="4E903852" w14:textId="77777777" w:rsidR="00B971E0" w:rsidRPr="000272ED" w:rsidRDefault="00B971E0" w:rsidP="000272ED">
      <w:pPr>
        <w:rPr>
          <w:rFonts w:cs="Arial"/>
          <w:szCs w:val="22"/>
        </w:rPr>
      </w:pPr>
      <w:bookmarkStart w:id="0" w:name="_Hlk43460919"/>
      <w:r w:rsidRPr="000272ED">
        <w:rPr>
          <w:rFonts w:cs="Arial"/>
          <w:b/>
          <w:szCs w:val="22"/>
        </w:rPr>
        <w:t>00495.80</w:t>
      </w:r>
      <w:r w:rsidRPr="000272ED">
        <w:rPr>
          <w:rFonts w:cs="Arial"/>
          <w:b/>
          <w:szCs w:val="22"/>
        </w:rPr>
        <w:tab/>
        <w:t xml:space="preserve">Measurement – </w:t>
      </w:r>
      <w:r w:rsidRPr="000272ED">
        <w:rPr>
          <w:rFonts w:cs="Arial"/>
          <w:szCs w:val="22"/>
        </w:rPr>
        <w:t>Add the following after the first paragraph:</w:t>
      </w:r>
    </w:p>
    <w:p w14:paraId="0DCD8BF7" w14:textId="77777777" w:rsidR="00B971E0" w:rsidRPr="000272ED" w:rsidRDefault="00B971E0" w:rsidP="000272ED">
      <w:pPr>
        <w:rPr>
          <w:rFonts w:cs="Arial"/>
          <w:szCs w:val="22"/>
        </w:rPr>
      </w:pPr>
    </w:p>
    <w:p w14:paraId="217F44F8" w14:textId="77777777" w:rsidR="00B971E0" w:rsidRPr="000272ED" w:rsidRDefault="005172D6" w:rsidP="000272ED">
      <w:pPr>
        <w:rPr>
          <w:rFonts w:cs="Arial"/>
          <w:szCs w:val="22"/>
        </w:rPr>
      </w:pPr>
      <w:r w:rsidRPr="000272ED">
        <w:rPr>
          <w:rFonts w:cs="Arial"/>
          <w:szCs w:val="22"/>
        </w:rPr>
        <w:t>Estimated</w:t>
      </w:r>
      <w:r w:rsidR="00B971E0" w:rsidRPr="000272ED">
        <w:rPr>
          <w:rFonts w:cs="Arial"/>
          <w:szCs w:val="22"/>
        </w:rPr>
        <w:t xml:space="preserve"> pavement restoration quantities include area shown in the Estimated Additional Pavement Markup in the Appendix</w:t>
      </w:r>
      <w:r w:rsidR="000272ED" w:rsidRPr="000272ED">
        <w:rPr>
          <w:rFonts w:cs="Arial"/>
          <w:szCs w:val="22"/>
        </w:rPr>
        <w:t xml:space="preserve">. </w:t>
      </w:r>
    </w:p>
    <w:bookmarkEnd w:id="0"/>
    <w:p w14:paraId="2A85A773" w14:textId="77777777" w:rsidR="00B971E0" w:rsidRPr="00E75E25" w:rsidRDefault="00B971E0" w:rsidP="000272ED">
      <w:pPr>
        <w:rPr>
          <w:rFonts w:cs="Arial"/>
          <w:szCs w:val="22"/>
        </w:rPr>
      </w:pPr>
    </w:p>
    <w:p w14:paraId="6475B9F2" w14:textId="77777777" w:rsidR="00B30314" w:rsidRDefault="00B30314" w:rsidP="00B30314">
      <w:pPr>
        <w:rPr>
          <w:rFonts w:ascii="Calibri" w:hAnsi="Calibri"/>
        </w:rPr>
      </w:pPr>
      <w:r>
        <w:rPr>
          <w:b/>
          <w:bCs/>
        </w:rPr>
        <w:t>00495.80(a)</w:t>
      </w:r>
      <w:r>
        <w:rPr>
          <w:b/>
          <w:bCs/>
        </w:rPr>
        <w:tab/>
        <w:t xml:space="preserve">Trench Resurfacing Width for Water and Sewer Pipe – </w:t>
      </w:r>
      <w:r>
        <w:t>Replace this subsection with the following:</w:t>
      </w:r>
    </w:p>
    <w:p w14:paraId="136B6A95" w14:textId="77777777" w:rsidR="00B30314" w:rsidRDefault="00B30314" w:rsidP="00B30314"/>
    <w:p w14:paraId="1AE49EA9" w14:textId="77777777" w:rsidR="00B30314" w:rsidRDefault="00B30314" w:rsidP="00B30314">
      <w:r>
        <w:t>Trench width according to section 00405.41(b) plus six (6)-inch tee cut on each side of the trench.</w:t>
      </w:r>
    </w:p>
    <w:p w14:paraId="4FA78CA4" w14:textId="77777777" w:rsidR="00B30314" w:rsidRDefault="00B30314" w:rsidP="00A21E9B">
      <w:pPr>
        <w:rPr>
          <w:rFonts w:cs="Arial"/>
          <w:b/>
          <w:szCs w:val="22"/>
        </w:rPr>
      </w:pPr>
    </w:p>
    <w:p w14:paraId="69CB41D9" w14:textId="77777777" w:rsidR="00A21E9B" w:rsidRPr="000272ED" w:rsidRDefault="00A21E9B" w:rsidP="00A21E9B">
      <w:pPr>
        <w:rPr>
          <w:rFonts w:cs="Arial"/>
          <w:szCs w:val="22"/>
        </w:rPr>
      </w:pPr>
      <w:r w:rsidRPr="000272ED">
        <w:rPr>
          <w:rFonts w:cs="Arial"/>
          <w:b/>
          <w:szCs w:val="22"/>
        </w:rPr>
        <w:t>00495.90</w:t>
      </w:r>
      <w:r w:rsidRPr="000272ED">
        <w:rPr>
          <w:rFonts w:cs="Arial"/>
          <w:b/>
          <w:szCs w:val="22"/>
        </w:rPr>
        <w:tab/>
        <w:t>Payment -</w:t>
      </w:r>
      <w:r w:rsidRPr="000272ED">
        <w:rPr>
          <w:rFonts w:cs="Arial"/>
          <w:szCs w:val="22"/>
        </w:rPr>
        <w:t xml:space="preserve"> Before the paragraph beginning "Item (b) includes...", insert the following paragraph:</w:t>
      </w:r>
    </w:p>
    <w:p w14:paraId="35AA0C9B" w14:textId="77777777" w:rsidR="00A21E9B" w:rsidRPr="000272ED" w:rsidRDefault="00A21E9B" w:rsidP="00A21E9B">
      <w:pPr>
        <w:rPr>
          <w:rFonts w:cs="Arial"/>
          <w:szCs w:val="22"/>
        </w:rPr>
      </w:pPr>
    </w:p>
    <w:p w14:paraId="57B269ED" w14:textId="77777777" w:rsidR="00A21E9B" w:rsidRPr="000272ED" w:rsidRDefault="00A21E9B" w:rsidP="00A21E9B">
      <w:r w:rsidRPr="000272ED">
        <w:rPr>
          <w:rFonts w:cs="Arial"/>
          <w:szCs w:val="22"/>
        </w:rPr>
        <w:lastRenderedPageBreak/>
        <w:t>There will be no payment for the area defined in 00495.45(b).</w:t>
      </w:r>
    </w:p>
    <w:sectPr w:rsidR="00A21E9B" w:rsidRPr="000272ED" w:rsidSect="008A2F83">
      <w:foot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D2BB" w14:textId="77777777" w:rsidR="000E498B" w:rsidRDefault="000E498B">
      <w:r>
        <w:separator/>
      </w:r>
    </w:p>
  </w:endnote>
  <w:endnote w:type="continuationSeparator" w:id="0">
    <w:p w14:paraId="7C5BB8A4" w14:textId="77777777" w:rsidR="000E498B" w:rsidRDefault="000E4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DC3B" w14:textId="77777777" w:rsidR="005015B3" w:rsidRDefault="005015B3">
    <w:pPr>
      <w:pStyle w:val="Footer"/>
      <w:tabs>
        <w:tab w:val="clear" w:pos="4320"/>
        <w:tab w:val="clear" w:pos="8640"/>
        <w:tab w:val="right" w:pos="8910"/>
      </w:tabs>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69E35" w14:textId="77777777" w:rsidR="000E498B" w:rsidRDefault="000E498B">
      <w:r>
        <w:separator/>
      </w:r>
    </w:p>
  </w:footnote>
  <w:footnote w:type="continuationSeparator" w:id="0">
    <w:p w14:paraId="19DB1BAA" w14:textId="77777777" w:rsidR="000E498B" w:rsidRDefault="000E4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40A6"/>
    <w:multiLevelType w:val="multilevel"/>
    <w:tmpl w:val="A2286464"/>
    <w:lvl w:ilvl="0">
      <w:start w:val="495"/>
      <w:numFmt w:val="decimalZero"/>
      <w:lvlText w:val="%1"/>
      <w:lvlJc w:val="left"/>
      <w:pPr>
        <w:tabs>
          <w:tab w:val="num" w:pos="915"/>
        </w:tabs>
        <w:ind w:left="915" w:hanging="915"/>
      </w:pPr>
      <w:rPr>
        <w:rFonts w:hint="default"/>
      </w:rPr>
    </w:lvl>
    <w:lvl w:ilvl="1">
      <w:start w:val="90"/>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87668F"/>
    <w:multiLevelType w:val="multilevel"/>
    <w:tmpl w:val="7D581DEC"/>
    <w:lvl w:ilvl="0">
      <w:start w:val="495"/>
      <w:numFmt w:val="decimalZero"/>
      <w:lvlText w:val="%1"/>
      <w:lvlJc w:val="left"/>
      <w:pPr>
        <w:tabs>
          <w:tab w:val="num" w:pos="915"/>
        </w:tabs>
        <w:ind w:left="915" w:hanging="915"/>
      </w:pPr>
      <w:rPr>
        <w:rFonts w:hint="default"/>
      </w:rPr>
    </w:lvl>
    <w:lvl w:ilvl="1">
      <w:start w:val="90"/>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3E2499"/>
    <w:multiLevelType w:val="singleLevel"/>
    <w:tmpl w:val="3A3C985A"/>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1D1576E9"/>
    <w:multiLevelType w:val="hybridMultilevel"/>
    <w:tmpl w:val="D9A2C19A"/>
    <w:lvl w:ilvl="0" w:tplc="A316200C">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D3DD7"/>
    <w:multiLevelType w:val="singleLevel"/>
    <w:tmpl w:val="976A591E"/>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2F9344A4"/>
    <w:multiLevelType w:val="hybridMultilevel"/>
    <w:tmpl w:val="15769FDC"/>
    <w:lvl w:ilvl="0" w:tplc="795A0C3E">
      <w:start w:val="1"/>
      <w:numFmt w:val="lowerLetter"/>
      <w:lvlText w:val="(%1)"/>
      <w:lvlJc w:val="left"/>
      <w:pPr>
        <w:ind w:left="720" w:hanging="360"/>
      </w:pPr>
      <w:rPr>
        <w:rFonts w:cs="Arial"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E0A6E"/>
    <w:multiLevelType w:val="multilevel"/>
    <w:tmpl w:val="94F85FE8"/>
    <w:lvl w:ilvl="0">
      <w:start w:val="495"/>
      <w:numFmt w:val="decimalZero"/>
      <w:lvlText w:val="%1"/>
      <w:lvlJc w:val="left"/>
      <w:pPr>
        <w:tabs>
          <w:tab w:val="num" w:pos="915"/>
        </w:tabs>
        <w:ind w:left="915" w:hanging="915"/>
      </w:pPr>
      <w:rPr>
        <w:rFonts w:hint="default"/>
      </w:rPr>
    </w:lvl>
    <w:lvl w:ilvl="1">
      <w:start w:val="40"/>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50C190E"/>
    <w:multiLevelType w:val="singleLevel"/>
    <w:tmpl w:val="7B8E6EF8"/>
    <w:lvl w:ilvl="0">
      <w:start w:val="1"/>
      <w:numFmt w:val="bullet"/>
      <w:lvlText w:val=""/>
      <w:lvlJc w:val="left"/>
      <w:pPr>
        <w:tabs>
          <w:tab w:val="num" w:pos="2160"/>
        </w:tabs>
        <w:ind w:left="2160" w:hanging="360"/>
      </w:pPr>
      <w:rPr>
        <w:rFonts w:ascii="Symbol" w:hAnsi="Symbol" w:hint="default"/>
      </w:rPr>
    </w:lvl>
  </w:abstractNum>
  <w:abstractNum w:abstractNumId="8" w15:restartNumberingAfterBreak="0">
    <w:nsid w:val="4B8E4A6F"/>
    <w:multiLevelType w:val="singleLevel"/>
    <w:tmpl w:val="801078AA"/>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4BCB5E5B"/>
    <w:multiLevelType w:val="multilevel"/>
    <w:tmpl w:val="4D52BEC8"/>
    <w:lvl w:ilvl="0">
      <w:start w:val="495"/>
      <w:numFmt w:val="decimalZero"/>
      <w:lvlText w:val="%1"/>
      <w:lvlJc w:val="left"/>
      <w:pPr>
        <w:tabs>
          <w:tab w:val="num" w:pos="1440"/>
        </w:tabs>
        <w:ind w:left="1440" w:hanging="1440"/>
      </w:pPr>
      <w:rPr>
        <w:rFonts w:hint="default"/>
      </w:rPr>
    </w:lvl>
    <w:lvl w:ilvl="1">
      <w:start w:val="4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31F10FC"/>
    <w:multiLevelType w:val="multilevel"/>
    <w:tmpl w:val="B0DEA914"/>
    <w:lvl w:ilvl="0">
      <w:start w:val="495"/>
      <w:numFmt w:val="decimalZero"/>
      <w:lvlText w:val="%1"/>
      <w:lvlJc w:val="left"/>
      <w:pPr>
        <w:tabs>
          <w:tab w:val="num" w:pos="915"/>
        </w:tabs>
        <w:ind w:left="915" w:hanging="915"/>
      </w:pPr>
      <w:rPr>
        <w:rFonts w:hint="default"/>
      </w:rPr>
    </w:lvl>
    <w:lvl w:ilvl="1">
      <w:start w:val="90"/>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FDA7439"/>
    <w:multiLevelType w:val="hybridMultilevel"/>
    <w:tmpl w:val="28B2C0CC"/>
    <w:lvl w:ilvl="0" w:tplc="5F723394">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651D0E"/>
    <w:multiLevelType w:val="hybridMultilevel"/>
    <w:tmpl w:val="C3EEFF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6C6CB2"/>
    <w:multiLevelType w:val="hybridMultilevel"/>
    <w:tmpl w:val="0F9C350A"/>
    <w:lvl w:ilvl="0" w:tplc="85FA55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830128"/>
    <w:multiLevelType w:val="multilevel"/>
    <w:tmpl w:val="0C380CC4"/>
    <w:lvl w:ilvl="0">
      <w:start w:val="495"/>
      <w:numFmt w:val="decimalZero"/>
      <w:lvlText w:val="%1"/>
      <w:lvlJc w:val="left"/>
      <w:pPr>
        <w:tabs>
          <w:tab w:val="num" w:pos="915"/>
        </w:tabs>
        <w:ind w:left="915" w:hanging="915"/>
      </w:pPr>
      <w:rPr>
        <w:rFonts w:hint="default"/>
      </w:rPr>
    </w:lvl>
    <w:lvl w:ilvl="1">
      <w:start w:val="40"/>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915"/>
        </w:tabs>
        <w:ind w:left="915" w:hanging="91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ABD21AA"/>
    <w:multiLevelType w:val="singleLevel"/>
    <w:tmpl w:val="CA70E3B2"/>
    <w:lvl w:ilvl="0">
      <w:start w:val="1"/>
      <w:numFmt w:val="bullet"/>
      <w:lvlText w:val=""/>
      <w:lvlJc w:val="left"/>
      <w:pPr>
        <w:tabs>
          <w:tab w:val="num" w:pos="720"/>
        </w:tabs>
        <w:ind w:left="720" w:hanging="360"/>
      </w:pPr>
      <w:rPr>
        <w:rFonts w:ascii="Wingdings" w:hAnsi="Wingdings" w:hint="default"/>
        <w:sz w:val="16"/>
      </w:rPr>
    </w:lvl>
  </w:abstractNum>
  <w:abstractNum w:abstractNumId="16" w15:restartNumberingAfterBreak="0">
    <w:nsid w:val="74C92116"/>
    <w:multiLevelType w:val="hybridMultilevel"/>
    <w:tmpl w:val="27EE3DE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9E6D31"/>
    <w:multiLevelType w:val="hybridMultilevel"/>
    <w:tmpl w:val="7D3A8552"/>
    <w:lvl w:ilvl="0" w:tplc="2BD4B446">
      <w:start w:val="1"/>
      <w:numFmt w:val="lowerLetter"/>
      <w:lvlText w:val="(%1)"/>
      <w:lvlJc w:val="left"/>
      <w:pPr>
        <w:ind w:left="1620" w:hanging="90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FF67E8"/>
    <w:multiLevelType w:val="singleLevel"/>
    <w:tmpl w:val="785A7EDA"/>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7217AC4"/>
    <w:multiLevelType w:val="multilevel"/>
    <w:tmpl w:val="0FC8F0BC"/>
    <w:lvl w:ilvl="0">
      <w:start w:val="495"/>
      <w:numFmt w:val="decimalZero"/>
      <w:lvlText w:val="%1"/>
      <w:lvlJc w:val="left"/>
      <w:pPr>
        <w:tabs>
          <w:tab w:val="num" w:pos="1440"/>
        </w:tabs>
        <w:ind w:left="1440" w:hanging="1440"/>
      </w:pPr>
      <w:rPr>
        <w:rFonts w:hint="default"/>
      </w:rPr>
    </w:lvl>
    <w:lvl w:ilvl="1">
      <w:start w:val="9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4"/>
  </w:num>
  <w:num w:numId="3">
    <w:abstractNumId w:val="2"/>
  </w:num>
  <w:num w:numId="4">
    <w:abstractNumId w:val="7"/>
  </w:num>
  <w:num w:numId="5">
    <w:abstractNumId w:val="15"/>
  </w:num>
  <w:num w:numId="6">
    <w:abstractNumId w:val="18"/>
  </w:num>
  <w:num w:numId="7">
    <w:abstractNumId w:val="16"/>
  </w:num>
  <w:num w:numId="8">
    <w:abstractNumId w:val="12"/>
  </w:num>
  <w:num w:numId="9">
    <w:abstractNumId w:val="9"/>
  </w:num>
  <w:num w:numId="10">
    <w:abstractNumId w:val="6"/>
  </w:num>
  <w:num w:numId="11">
    <w:abstractNumId w:val="14"/>
  </w:num>
  <w:num w:numId="12">
    <w:abstractNumId w:val="19"/>
  </w:num>
  <w:num w:numId="13">
    <w:abstractNumId w:val="10"/>
  </w:num>
  <w:num w:numId="14">
    <w:abstractNumId w:val="1"/>
  </w:num>
  <w:num w:numId="15">
    <w:abstractNumId w:val="0"/>
  </w:num>
  <w:num w:numId="16">
    <w:abstractNumId w:val="17"/>
  </w:num>
  <w:num w:numId="17">
    <w:abstractNumId w:val="5"/>
  </w:num>
  <w:num w:numId="18">
    <w:abstractNumId w:val="3"/>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2A05"/>
    <w:rsid w:val="00024727"/>
    <w:rsid w:val="000272ED"/>
    <w:rsid w:val="00030D46"/>
    <w:rsid w:val="00041E75"/>
    <w:rsid w:val="000E498B"/>
    <w:rsid w:val="00107F62"/>
    <w:rsid w:val="001379C1"/>
    <w:rsid w:val="0017539F"/>
    <w:rsid w:val="001D5958"/>
    <w:rsid w:val="00216AE3"/>
    <w:rsid w:val="00227F9E"/>
    <w:rsid w:val="00276583"/>
    <w:rsid w:val="002D2BD4"/>
    <w:rsid w:val="002D79FD"/>
    <w:rsid w:val="002E56C2"/>
    <w:rsid w:val="002E56F4"/>
    <w:rsid w:val="002F4870"/>
    <w:rsid w:val="00343E3B"/>
    <w:rsid w:val="003B54D8"/>
    <w:rsid w:val="004229E8"/>
    <w:rsid w:val="004236F7"/>
    <w:rsid w:val="00436AE8"/>
    <w:rsid w:val="004669DF"/>
    <w:rsid w:val="00474626"/>
    <w:rsid w:val="004A38E4"/>
    <w:rsid w:val="005015B3"/>
    <w:rsid w:val="005172D6"/>
    <w:rsid w:val="005246B6"/>
    <w:rsid w:val="00524F0C"/>
    <w:rsid w:val="00580796"/>
    <w:rsid w:val="005A6783"/>
    <w:rsid w:val="00617BB5"/>
    <w:rsid w:val="00674E78"/>
    <w:rsid w:val="00681C18"/>
    <w:rsid w:val="006923D8"/>
    <w:rsid w:val="00693606"/>
    <w:rsid w:val="006C3775"/>
    <w:rsid w:val="006F5BAD"/>
    <w:rsid w:val="007031D7"/>
    <w:rsid w:val="00720AAF"/>
    <w:rsid w:val="00746E2A"/>
    <w:rsid w:val="00780808"/>
    <w:rsid w:val="00797CF7"/>
    <w:rsid w:val="007A69A9"/>
    <w:rsid w:val="007E76D1"/>
    <w:rsid w:val="00826797"/>
    <w:rsid w:val="00830E2D"/>
    <w:rsid w:val="00875701"/>
    <w:rsid w:val="00875E16"/>
    <w:rsid w:val="0088043D"/>
    <w:rsid w:val="008826C6"/>
    <w:rsid w:val="008A2F83"/>
    <w:rsid w:val="008E0417"/>
    <w:rsid w:val="00935219"/>
    <w:rsid w:val="00940D68"/>
    <w:rsid w:val="00977FE0"/>
    <w:rsid w:val="009B7D7C"/>
    <w:rsid w:val="00A21E9B"/>
    <w:rsid w:val="00A229FE"/>
    <w:rsid w:val="00A92A05"/>
    <w:rsid w:val="00AC1ACE"/>
    <w:rsid w:val="00B05B1B"/>
    <w:rsid w:val="00B12209"/>
    <w:rsid w:val="00B144D4"/>
    <w:rsid w:val="00B30314"/>
    <w:rsid w:val="00B35E4A"/>
    <w:rsid w:val="00B41589"/>
    <w:rsid w:val="00B42E8E"/>
    <w:rsid w:val="00B526A4"/>
    <w:rsid w:val="00B54ABB"/>
    <w:rsid w:val="00B739DC"/>
    <w:rsid w:val="00B758BF"/>
    <w:rsid w:val="00B971E0"/>
    <w:rsid w:val="00BA45B6"/>
    <w:rsid w:val="00C02575"/>
    <w:rsid w:val="00C81BC9"/>
    <w:rsid w:val="00C9440E"/>
    <w:rsid w:val="00CA7A08"/>
    <w:rsid w:val="00D06B6F"/>
    <w:rsid w:val="00D359AD"/>
    <w:rsid w:val="00D779F8"/>
    <w:rsid w:val="00D8479F"/>
    <w:rsid w:val="00D879EF"/>
    <w:rsid w:val="00DA50CC"/>
    <w:rsid w:val="00DC1E27"/>
    <w:rsid w:val="00DE36AD"/>
    <w:rsid w:val="00E03552"/>
    <w:rsid w:val="00E205F9"/>
    <w:rsid w:val="00E61BE3"/>
    <w:rsid w:val="00E94005"/>
    <w:rsid w:val="00EC4706"/>
    <w:rsid w:val="00EC5043"/>
    <w:rsid w:val="00ED242D"/>
    <w:rsid w:val="00EE08B4"/>
    <w:rsid w:val="00F1555E"/>
    <w:rsid w:val="00F26A8E"/>
    <w:rsid w:val="00F46781"/>
    <w:rsid w:val="00F8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676678"/>
  <w15:chartTrackingRefBased/>
  <w15:docId w15:val="{4F10AFD8-17FC-499A-9F26-C7E7EAB4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jc w:val="center"/>
      <w:outlineLvl w:val="1"/>
    </w:pPr>
    <w:rPr>
      <w:b/>
    </w:rPr>
  </w:style>
  <w:style w:type="paragraph" w:styleId="Heading3">
    <w:name w:val="heading 3"/>
    <w:aliases w:val="Materials"/>
    <w:basedOn w:val="Normal"/>
    <w:next w:val="Normal"/>
    <w:qFormat/>
    <w:rsid w:val="00E03552"/>
    <w:pPr>
      <w:jc w:val="center"/>
      <w:outlineLvl w:val="2"/>
    </w:pPr>
    <w:rPr>
      <w:b/>
    </w:rPr>
  </w:style>
  <w:style w:type="paragraph" w:styleId="Heading4">
    <w:name w:val="heading 4"/>
    <w:aliases w:val="Payment"/>
    <w:basedOn w:val="Normal"/>
    <w:next w:val="Normal"/>
    <w:qFormat/>
    <w:pPr>
      <w:tabs>
        <w:tab w:val="right" w:pos="1440"/>
        <w:tab w:val="left" w:pos="1584"/>
        <w:tab w:val="center" w:leader="dot" w:pos="7200"/>
      </w:tabs>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rPr>
      <w:rFonts w:ascii="Arial" w:hAnsi="Arial"/>
      <w:kern w:val="0"/>
      <w:sz w:val="22"/>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autoRedefine/>
    <w:semiHidden/>
    <w:pPr>
      <w:ind w:left="1584" w:right="864" w:hanging="1584"/>
      <w:jc w:val="left"/>
    </w:pPr>
  </w:style>
  <w:style w:type="table" w:styleId="TableGrid">
    <w:name w:val="Table Grid"/>
    <w:basedOn w:val="TableNormal"/>
    <w:rsid w:val="00B52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42D"/>
    <w:pPr>
      <w:spacing w:after="160" w:line="259" w:lineRule="auto"/>
      <w:ind w:left="720"/>
      <w:contextualSpacing/>
      <w:jc w:val="left"/>
    </w:pPr>
    <w:rPr>
      <w:rFonts w:ascii="Calibri" w:eastAsia="Calibri" w:hAnsi="Calibri"/>
      <w:szCs w:val="22"/>
    </w:rPr>
  </w:style>
  <w:style w:type="character" w:styleId="CommentReference">
    <w:name w:val="annotation reference"/>
    <w:rsid w:val="00436AE8"/>
    <w:rPr>
      <w:sz w:val="16"/>
      <w:szCs w:val="16"/>
    </w:rPr>
  </w:style>
  <w:style w:type="paragraph" w:styleId="CommentText">
    <w:name w:val="annotation text"/>
    <w:basedOn w:val="Normal"/>
    <w:link w:val="CommentTextChar"/>
    <w:rsid w:val="00436AE8"/>
    <w:rPr>
      <w:sz w:val="20"/>
    </w:rPr>
  </w:style>
  <w:style w:type="character" w:customStyle="1" w:styleId="CommentTextChar">
    <w:name w:val="Comment Text Char"/>
    <w:link w:val="CommentText"/>
    <w:rsid w:val="00436AE8"/>
    <w:rPr>
      <w:rFonts w:ascii="Arial" w:hAnsi="Arial"/>
    </w:rPr>
  </w:style>
  <w:style w:type="character" w:styleId="Hyperlink">
    <w:name w:val="Hyperlink"/>
    <w:uiPriority w:val="99"/>
    <w:unhideWhenUsed/>
    <w:rsid w:val="00B739DC"/>
    <w:rPr>
      <w:color w:val="0563C1"/>
      <w:u w:val="single"/>
    </w:rPr>
  </w:style>
  <w:style w:type="character" w:styleId="UnresolvedMention">
    <w:name w:val="Unresolved Mention"/>
    <w:uiPriority w:val="99"/>
    <w:semiHidden/>
    <w:unhideWhenUsed/>
    <w:rsid w:val="00B73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drive.google.com/file/d/1pS7EidYNktoUc9Yx_OlX607jHruCRo0h/view?usp=sharing"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wye05g\Application%20Data\Microsoft\Templates\02%20Special%20Pro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289A9-B5C8-4AAA-B848-078E595E2736}">
  <ds:schemaRefs>
    <ds:schemaRef ds:uri="http://schemas.microsoft.com/sharepoint/v3/contenttype/forms"/>
  </ds:schemaRefs>
</ds:datastoreItem>
</file>

<file path=customXml/itemProps2.xml><?xml version="1.0" encoding="utf-8"?>
<ds:datastoreItem xmlns:ds="http://schemas.openxmlformats.org/officeDocument/2006/customXml" ds:itemID="{46987464-808C-400D-8F1F-C10D4234F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9baf0331-92a2-4fbf-b88d-b26c3fd7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73221-2819-4858-A385-1CA376B0E6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02 Special Provision</Template>
  <TotalTime>0</TotalTime>
  <Pages>3</Pages>
  <Words>700</Words>
  <Characters>3994</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2007 Special Provisions</vt:lpstr>
      <vt:lpstr>        Section 00495 - Trench Resurfacing</vt:lpstr>
    </vt:vector>
  </TitlesOfParts>
  <Manager/>
  <Company>City of Portland Office of Transportation</Company>
  <LinksUpToDate>false</LinksUpToDate>
  <CharactersWithSpaces>4685</CharactersWithSpaces>
  <SharedDoc>false</SharedDoc>
  <HLinks>
    <vt:vector size="6" baseType="variant">
      <vt:variant>
        <vt:i4>6160490</vt:i4>
      </vt:variant>
      <vt:variant>
        <vt:i4>0</vt:i4>
      </vt:variant>
      <vt:variant>
        <vt:i4>0</vt:i4>
      </vt:variant>
      <vt:variant>
        <vt:i4>5</vt:i4>
      </vt:variant>
      <vt:variant>
        <vt:lpwstr>https://drive.google.com/file/d/1pS7EidYNktoUc9Yx_OlX607jHruCRo0h/view?usp=sharing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Special Provisions</dc:title>
  <dc:subject/>
  <dc:creator>valeriej</dc:creator>
  <cp:keywords/>
  <dc:description/>
  <cp:lastModifiedBy>Morrison, Dan</cp:lastModifiedBy>
  <cp:revision>2</cp:revision>
  <cp:lastPrinted>2005-12-12T19:50:00Z</cp:lastPrinted>
  <dcterms:created xsi:type="dcterms:W3CDTF">2022-11-07T22:26:00Z</dcterms:created>
  <dcterms:modified xsi:type="dcterms:W3CDTF">2022-11-07T22:26:00Z</dcterms:modified>
</cp:coreProperties>
</file>