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E676C" w14:textId="77777777" w:rsidR="00F73882" w:rsidRDefault="00F73882" w:rsidP="00AD3D53">
      <w:pPr>
        <w:spacing w:before="240" w:after="0"/>
        <w:jc w:val="center"/>
        <w:rPr>
          <w:b/>
          <w:sz w:val="32"/>
          <w:szCs w:val="32"/>
        </w:rPr>
      </w:pPr>
      <w:r w:rsidRPr="001102A2">
        <w:rPr>
          <w:b/>
          <w:sz w:val="32"/>
          <w:szCs w:val="32"/>
        </w:rPr>
        <w:t>Compliant Procedure</w:t>
      </w:r>
      <w:r>
        <w:rPr>
          <w:b/>
          <w:sz w:val="32"/>
          <w:szCs w:val="32"/>
        </w:rPr>
        <w:t xml:space="preserve"> – Intake Team Checklist</w:t>
      </w:r>
    </w:p>
    <w:p w14:paraId="4172884E" w14:textId="0CDAB14A" w:rsidR="00F73882" w:rsidRDefault="0025441F" w:rsidP="00F73882">
      <w:pPr>
        <w:spacing w:after="0"/>
        <w:jc w:val="center"/>
        <w:rPr>
          <w:b/>
          <w:sz w:val="32"/>
          <w:szCs w:val="32"/>
        </w:rPr>
      </w:pPr>
      <w:r>
        <w:rPr>
          <w:b/>
          <w:sz w:val="32"/>
          <w:szCs w:val="32"/>
        </w:rPr>
        <w:t xml:space="preserve"> </w:t>
      </w:r>
      <w:r w:rsidR="00F73882">
        <w:rPr>
          <w:b/>
          <w:sz w:val="32"/>
          <w:szCs w:val="32"/>
        </w:rPr>
        <w:t>(ADA Title II)</w:t>
      </w:r>
    </w:p>
    <w:p w14:paraId="61E3EBBB" w14:textId="19C9334B" w:rsidR="00392479" w:rsidRPr="00C8188E" w:rsidRDefault="00AD3D53">
      <w:pPr>
        <w:rPr>
          <w:color w:val="FF0000"/>
          <w:sz w:val="52"/>
          <w:szCs w:val="52"/>
        </w:rPr>
      </w:pPr>
      <w:r w:rsidRPr="00425B35">
        <w:rPr>
          <w:b/>
        </w:rPr>
        <w:t>Complaint Team</w:t>
      </w:r>
      <w:r w:rsidR="002032FA" w:rsidRPr="002032FA">
        <w:rPr>
          <w:color w:val="FF0000"/>
          <w:sz w:val="52"/>
          <w:szCs w:val="52"/>
        </w:rPr>
        <w:t xml:space="preserve"> </w:t>
      </w:r>
    </w:p>
    <w:tbl>
      <w:tblPr>
        <w:tblStyle w:val="TableGrid"/>
        <w:tblpPr w:leftFromText="180" w:rightFromText="180" w:vertAnchor="page" w:horzAnchor="margin" w:tblpY="3949"/>
        <w:tblW w:w="20904" w:type="dxa"/>
        <w:tblLook w:val="04A0" w:firstRow="1" w:lastRow="0" w:firstColumn="1" w:lastColumn="0" w:noHBand="0" w:noVBand="1"/>
        <w:tblCaption w:val="Table"/>
        <w:tblDescription w:val="Table of roles, summary of roles, and who that role is assigned to "/>
      </w:tblPr>
      <w:tblGrid>
        <w:gridCol w:w="2780"/>
        <w:gridCol w:w="12548"/>
        <w:gridCol w:w="5576"/>
      </w:tblGrid>
      <w:tr w:rsidR="00AD3D53" w:rsidRPr="00F73882" w14:paraId="00C7A9E7" w14:textId="77777777" w:rsidTr="00AD3D53">
        <w:trPr>
          <w:cantSplit/>
          <w:trHeight w:val="272"/>
          <w:tblHeader/>
        </w:trPr>
        <w:tc>
          <w:tcPr>
            <w:tcW w:w="2780" w:type="dxa"/>
            <w:shd w:val="clear" w:color="auto" w:fill="D9E2F3" w:themeFill="accent1" w:themeFillTint="33"/>
          </w:tcPr>
          <w:p w14:paraId="1F16F045" w14:textId="77777777" w:rsidR="00AD3D53" w:rsidRPr="00F73882" w:rsidRDefault="00AD3D53" w:rsidP="00AD3D53">
            <w:pPr>
              <w:jc w:val="center"/>
              <w:rPr>
                <w:b/>
              </w:rPr>
            </w:pPr>
            <w:bookmarkStart w:id="0" w:name="_Hlk30771513"/>
            <w:r w:rsidRPr="00F73882">
              <w:rPr>
                <w:b/>
              </w:rPr>
              <w:t>Role</w:t>
            </w:r>
          </w:p>
        </w:tc>
        <w:tc>
          <w:tcPr>
            <w:tcW w:w="12548" w:type="dxa"/>
            <w:shd w:val="clear" w:color="auto" w:fill="D9E2F3" w:themeFill="accent1" w:themeFillTint="33"/>
          </w:tcPr>
          <w:p w14:paraId="4E0C56B7" w14:textId="77777777" w:rsidR="00AD3D53" w:rsidRPr="00F73882" w:rsidRDefault="00AD3D53" w:rsidP="00AD3D53">
            <w:pPr>
              <w:jc w:val="center"/>
              <w:rPr>
                <w:b/>
              </w:rPr>
            </w:pPr>
            <w:r w:rsidRPr="00F73882">
              <w:rPr>
                <w:b/>
              </w:rPr>
              <w:t>Summary of Role</w:t>
            </w:r>
          </w:p>
        </w:tc>
        <w:tc>
          <w:tcPr>
            <w:tcW w:w="5576" w:type="dxa"/>
            <w:shd w:val="clear" w:color="auto" w:fill="D9E2F3" w:themeFill="accent1" w:themeFillTint="33"/>
          </w:tcPr>
          <w:p w14:paraId="4A67878B" w14:textId="77777777" w:rsidR="00AD3D53" w:rsidRPr="00F73882" w:rsidRDefault="00AD3D53" w:rsidP="00AD3D53">
            <w:pPr>
              <w:jc w:val="center"/>
              <w:rPr>
                <w:b/>
              </w:rPr>
            </w:pPr>
            <w:r w:rsidRPr="00F73882">
              <w:rPr>
                <w:b/>
              </w:rPr>
              <w:t xml:space="preserve">Assigned </w:t>
            </w:r>
            <w:r>
              <w:rPr>
                <w:b/>
              </w:rPr>
              <w:t>To</w:t>
            </w:r>
          </w:p>
        </w:tc>
      </w:tr>
      <w:tr w:rsidR="00AD3D53" w:rsidRPr="00F73882" w14:paraId="3100260C" w14:textId="77777777" w:rsidTr="00AD3D53">
        <w:trPr>
          <w:trHeight w:val="300"/>
        </w:trPr>
        <w:tc>
          <w:tcPr>
            <w:tcW w:w="2780" w:type="dxa"/>
          </w:tcPr>
          <w:p w14:paraId="06CDC48F" w14:textId="77777777" w:rsidR="00AD3D53" w:rsidRPr="00F73882" w:rsidRDefault="00AD3D53" w:rsidP="00AD3D53">
            <w:pPr>
              <w:tabs>
                <w:tab w:val="left" w:pos="924"/>
              </w:tabs>
            </w:pPr>
            <w:r w:rsidRPr="00F73882">
              <w:rPr>
                <w:rFonts w:cs="AppleSystemUIFont"/>
                <w:sz w:val="24"/>
                <w:szCs w:val="24"/>
              </w:rPr>
              <w:t>Intake</w:t>
            </w:r>
            <w:r>
              <w:rPr>
                <w:rFonts w:cs="AppleSystemUIFont"/>
                <w:sz w:val="24"/>
                <w:szCs w:val="24"/>
              </w:rPr>
              <w:t xml:space="preserve"> Person</w:t>
            </w:r>
          </w:p>
        </w:tc>
        <w:tc>
          <w:tcPr>
            <w:tcW w:w="12548" w:type="dxa"/>
          </w:tcPr>
          <w:p w14:paraId="1EFA59ED" w14:textId="77777777" w:rsidR="00AD3D53" w:rsidRPr="00F73882" w:rsidRDefault="00AD3D53" w:rsidP="00AD3D53">
            <w:r>
              <w:t xml:space="preserve">Contact for complaints </w:t>
            </w:r>
          </w:p>
        </w:tc>
        <w:tc>
          <w:tcPr>
            <w:tcW w:w="5576" w:type="dxa"/>
          </w:tcPr>
          <w:p w14:paraId="05588C04" w14:textId="77777777" w:rsidR="00AD3D53" w:rsidRPr="00F73882" w:rsidRDefault="00AD3D53" w:rsidP="00AD3D53">
            <w:r>
              <w:t>Will be 311 in the future.</w:t>
            </w:r>
          </w:p>
        </w:tc>
      </w:tr>
      <w:tr w:rsidR="00AD3D53" w:rsidRPr="00F73882" w14:paraId="1781671B" w14:textId="77777777" w:rsidTr="00AD3D53">
        <w:trPr>
          <w:trHeight w:val="572"/>
        </w:trPr>
        <w:tc>
          <w:tcPr>
            <w:tcW w:w="2780" w:type="dxa"/>
          </w:tcPr>
          <w:p w14:paraId="6DC0591C" w14:textId="77777777" w:rsidR="00AD3D53" w:rsidRPr="00F73882" w:rsidRDefault="00AD3D53" w:rsidP="00AD3D53">
            <w:r>
              <w:t>Communication Person</w:t>
            </w:r>
          </w:p>
        </w:tc>
        <w:tc>
          <w:tcPr>
            <w:tcW w:w="12548" w:type="dxa"/>
          </w:tcPr>
          <w:p w14:paraId="072778F4" w14:textId="77777777" w:rsidR="00AD3D53" w:rsidRPr="00F73882" w:rsidRDefault="00AD3D53" w:rsidP="00AD3D53">
            <w:r>
              <w:t>Manages communication and tracks timelines.</w:t>
            </w:r>
          </w:p>
        </w:tc>
        <w:tc>
          <w:tcPr>
            <w:tcW w:w="5576" w:type="dxa"/>
          </w:tcPr>
          <w:p w14:paraId="1057E88F" w14:textId="77777777" w:rsidR="00AD3D53" w:rsidRPr="00F73882" w:rsidRDefault="00AD3D53" w:rsidP="00AD3D53"/>
        </w:tc>
      </w:tr>
      <w:tr w:rsidR="00AD3D53" w:rsidRPr="00F73882" w14:paraId="310C2740" w14:textId="77777777" w:rsidTr="00AD3D53">
        <w:trPr>
          <w:trHeight w:val="1404"/>
        </w:trPr>
        <w:tc>
          <w:tcPr>
            <w:tcW w:w="2780" w:type="dxa"/>
          </w:tcPr>
          <w:p w14:paraId="5A5D3047" w14:textId="77777777" w:rsidR="00AD3D53" w:rsidRPr="00F73882" w:rsidRDefault="00AD3D53" w:rsidP="00AD3D53">
            <w:r>
              <w:t>Investigator</w:t>
            </w:r>
          </w:p>
        </w:tc>
        <w:tc>
          <w:tcPr>
            <w:tcW w:w="12548" w:type="dxa"/>
          </w:tcPr>
          <w:p w14:paraId="4411F9D8" w14:textId="77777777" w:rsidR="00AD3D53" w:rsidRPr="00F73882" w:rsidRDefault="00AD3D53" w:rsidP="00AD3D53">
            <w:r>
              <w:t xml:space="preserve">Person with knowledge of Civil Rights Complaints who collects information and conducts interviews – finds out what occurred, </w:t>
            </w:r>
            <w:r w:rsidRPr="00F73882">
              <w:t>identifi</w:t>
            </w:r>
            <w:r>
              <w:t>es</w:t>
            </w:r>
            <w:r w:rsidRPr="00F73882">
              <w:t xml:space="preserve"> regulatory guidelines, applicable laws, regulations; crosswalk</w:t>
            </w:r>
            <w:r>
              <w:t>s</w:t>
            </w:r>
            <w:r w:rsidRPr="00F73882">
              <w:t xml:space="preserve"> discriminatory theory and regulatory guidelines with details of complaint; identif</w:t>
            </w:r>
            <w:r>
              <w:t>ies</w:t>
            </w:r>
            <w:r w:rsidRPr="00F73882">
              <w:t xml:space="preserve"> relevant policies and procedures, etc.; brainstorm</w:t>
            </w:r>
            <w:r>
              <w:t>s</w:t>
            </w:r>
            <w:r w:rsidRPr="00F73882">
              <w:t xml:space="preserve"> possible corrective actions or improvements</w:t>
            </w:r>
          </w:p>
        </w:tc>
        <w:tc>
          <w:tcPr>
            <w:tcW w:w="5576" w:type="dxa"/>
          </w:tcPr>
          <w:p w14:paraId="00AABC73" w14:textId="77777777" w:rsidR="00AD3D53" w:rsidRPr="00F73882" w:rsidRDefault="00AD3D53" w:rsidP="00AD3D53">
            <w:r>
              <w:t xml:space="preserve">Possible to contract out. </w:t>
            </w:r>
          </w:p>
        </w:tc>
      </w:tr>
      <w:tr w:rsidR="00AD3D53" w:rsidRPr="00F73882" w14:paraId="5415338B" w14:textId="77777777" w:rsidTr="00AD3D53">
        <w:trPr>
          <w:trHeight w:val="846"/>
        </w:trPr>
        <w:tc>
          <w:tcPr>
            <w:tcW w:w="2780" w:type="dxa"/>
          </w:tcPr>
          <w:p w14:paraId="3A4A80D1" w14:textId="77777777" w:rsidR="00AD3D53" w:rsidRPr="00F73882" w:rsidRDefault="00AD3D53" w:rsidP="00AD3D53">
            <w:r>
              <w:t>Complaint Authority</w:t>
            </w:r>
          </w:p>
        </w:tc>
        <w:tc>
          <w:tcPr>
            <w:tcW w:w="12548" w:type="dxa"/>
          </w:tcPr>
          <w:p w14:paraId="573CAA9A" w14:textId="77777777" w:rsidR="00AD3D53" w:rsidRPr="00F73882" w:rsidRDefault="00AD3D53" w:rsidP="00AD3D53">
            <w:r>
              <w:t xml:space="preserve">Has authority to negotiate and offer resolution for the complaint.  </w:t>
            </w:r>
            <w:r w:rsidRPr="00F73882">
              <w:t>This person should have financial and decision-making authority for the bureau or have the access to the financial and decision-making authority for any division of the bureau.</w:t>
            </w:r>
          </w:p>
        </w:tc>
        <w:tc>
          <w:tcPr>
            <w:tcW w:w="5576" w:type="dxa"/>
          </w:tcPr>
          <w:p w14:paraId="4D69C1D7" w14:textId="77777777" w:rsidR="00AD3D53" w:rsidRDefault="00AD3D53" w:rsidP="00AD3D53">
            <w:r>
              <w:t>Business Operations Managers</w:t>
            </w:r>
          </w:p>
          <w:p w14:paraId="6D3E4485" w14:textId="77777777" w:rsidR="00AD3D53" w:rsidRDefault="00AD3D53" w:rsidP="00AD3D53">
            <w:r>
              <w:t>Deputy Directors</w:t>
            </w:r>
          </w:p>
          <w:p w14:paraId="08D7A658" w14:textId="77777777" w:rsidR="00AD3D53" w:rsidRPr="00F73882" w:rsidRDefault="00AD3D53" w:rsidP="00AD3D53">
            <w:r>
              <w:t>Equity Managers</w:t>
            </w:r>
          </w:p>
        </w:tc>
      </w:tr>
      <w:tr w:rsidR="00AD3D53" w:rsidRPr="00F73882" w14:paraId="1D5E191A" w14:textId="77777777" w:rsidTr="00AD3D53">
        <w:trPr>
          <w:trHeight w:val="846"/>
        </w:trPr>
        <w:tc>
          <w:tcPr>
            <w:tcW w:w="2780" w:type="dxa"/>
          </w:tcPr>
          <w:p w14:paraId="4C673077" w14:textId="77777777" w:rsidR="00AD3D53" w:rsidRPr="00F73882" w:rsidRDefault="00AD3D53" w:rsidP="00AD3D53">
            <w:r>
              <w:t>Bureau Civil Right Compliance Coordinator</w:t>
            </w:r>
          </w:p>
        </w:tc>
        <w:tc>
          <w:tcPr>
            <w:tcW w:w="12548" w:type="dxa"/>
          </w:tcPr>
          <w:p w14:paraId="2DBB1E52" w14:textId="77777777" w:rsidR="00AD3D53" w:rsidRPr="00F73882" w:rsidRDefault="00AD3D53" w:rsidP="00AD3D53">
            <w:r>
              <w:t>Liaison to report back to OEHR and Council - copied on all communication and investigation correspondence.</w:t>
            </w:r>
          </w:p>
        </w:tc>
        <w:tc>
          <w:tcPr>
            <w:tcW w:w="5576" w:type="dxa"/>
          </w:tcPr>
          <w:p w14:paraId="7E870880" w14:textId="77777777" w:rsidR="00AD3D53" w:rsidRPr="00F73882" w:rsidRDefault="00AD3D53" w:rsidP="00AD3D53">
            <w:r>
              <w:t>Bureau identified ADA</w:t>
            </w:r>
            <w:r w:rsidRPr="007B566F">
              <w:t xml:space="preserve"> Title II and Civil Rights Title VI coordinator</w:t>
            </w:r>
          </w:p>
        </w:tc>
      </w:tr>
    </w:tbl>
    <w:bookmarkEnd w:id="0"/>
    <w:p w14:paraId="0084589D" w14:textId="6F74F03E" w:rsidR="00824660" w:rsidRDefault="00824660" w:rsidP="00AD3D53">
      <w:pPr>
        <w:spacing w:before="240" w:after="0"/>
        <w:jc w:val="center"/>
        <w:rPr>
          <w:b/>
          <w:sz w:val="32"/>
          <w:szCs w:val="32"/>
        </w:rPr>
      </w:pPr>
      <w:r w:rsidRPr="001102A2">
        <w:rPr>
          <w:b/>
          <w:sz w:val="32"/>
          <w:szCs w:val="32"/>
        </w:rPr>
        <w:t xml:space="preserve"> Compliant Procedure</w:t>
      </w:r>
      <w:r>
        <w:rPr>
          <w:b/>
          <w:sz w:val="32"/>
          <w:szCs w:val="32"/>
        </w:rPr>
        <w:t xml:space="preserve"> – Red. Yellow, Green Checklist</w:t>
      </w:r>
    </w:p>
    <w:p w14:paraId="18936094" w14:textId="1E1E3DA5" w:rsidR="00AD3D53" w:rsidRDefault="00AD3D53" w:rsidP="00AD3D53">
      <w:pPr>
        <w:spacing w:after="0"/>
        <w:rPr>
          <w:b/>
        </w:rPr>
      </w:pPr>
      <w:r>
        <w:rPr>
          <w:b/>
        </w:rPr>
        <w:t>Determining Complaint Status</w:t>
      </w:r>
    </w:p>
    <w:p w14:paraId="7495F22D" w14:textId="07F504F6" w:rsidR="00824660" w:rsidRPr="00AD3D53" w:rsidRDefault="00824660" w:rsidP="00AD3D53">
      <w:pPr>
        <w:spacing w:after="0"/>
        <w:rPr>
          <w:b/>
          <w:sz w:val="32"/>
          <w:szCs w:val="32"/>
        </w:rPr>
      </w:pPr>
    </w:p>
    <w:tbl>
      <w:tblPr>
        <w:tblStyle w:val="TableGrid"/>
        <w:tblpPr w:leftFromText="180" w:rightFromText="180" w:vertAnchor="page" w:horzAnchor="margin" w:tblpY="10489"/>
        <w:tblW w:w="20932" w:type="dxa"/>
        <w:tblLook w:val="04A0" w:firstRow="1" w:lastRow="0" w:firstColumn="1" w:lastColumn="0" w:noHBand="0" w:noVBand="1"/>
        <w:tblDescription w:val="Determining Complain Status"/>
      </w:tblPr>
      <w:tblGrid>
        <w:gridCol w:w="2784"/>
        <w:gridCol w:w="12564"/>
        <w:gridCol w:w="5584"/>
      </w:tblGrid>
      <w:tr w:rsidR="00AD3D53" w:rsidRPr="00F73882" w14:paraId="3EA17CD5" w14:textId="77777777" w:rsidTr="002032FA">
        <w:trPr>
          <w:cantSplit/>
          <w:trHeight w:val="260"/>
          <w:tblHeader/>
        </w:trPr>
        <w:tc>
          <w:tcPr>
            <w:tcW w:w="2784" w:type="dxa"/>
            <w:shd w:val="clear" w:color="auto" w:fill="D9E2F3" w:themeFill="accent1" w:themeFillTint="33"/>
          </w:tcPr>
          <w:p w14:paraId="55559595" w14:textId="766600F0" w:rsidR="00AD3D53" w:rsidRPr="00F73882" w:rsidRDefault="00AD3D53" w:rsidP="002032FA">
            <w:pPr>
              <w:jc w:val="center"/>
              <w:rPr>
                <w:b/>
              </w:rPr>
            </w:pPr>
            <w:r>
              <w:rPr>
                <w:b/>
              </w:rPr>
              <w:t>Color</w:t>
            </w:r>
          </w:p>
        </w:tc>
        <w:tc>
          <w:tcPr>
            <w:tcW w:w="12564" w:type="dxa"/>
            <w:shd w:val="clear" w:color="auto" w:fill="D9E2F3" w:themeFill="accent1" w:themeFillTint="33"/>
          </w:tcPr>
          <w:p w14:paraId="4F585915" w14:textId="77777777" w:rsidR="00AD3D53" w:rsidRPr="00F73882" w:rsidRDefault="00AD3D53" w:rsidP="002032FA">
            <w:pPr>
              <w:jc w:val="center"/>
              <w:rPr>
                <w:b/>
              </w:rPr>
            </w:pPr>
            <w:r>
              <w:rPr>
                <w:b/>
              </w:rPr>
              <w:t>Description</w:t>
            </w:r>
          </w:p>
        </w:tc>
        <w:tc>
          <w:tcPr>
            <w:tcW w:w="5584" w:type="dxa"/>
            <w:shd w:val="clear" w:color="auto" w:fill="D9E2F3" w:themeFill="accent1" w:themeFillTint="33"/>
          </w:tcPr>
          <w:p w14:paraId="0B5E604F" w14:textId="77777777" w:rsidR="00AD3D53" w:rsidRPr="00F73882" w:rsidRDefault="00AD3D53" w:rsidP="002032FA">
            <w:pPr>
              <w:jc w:val="center"/>
              <w:rPr>
                <w:b/>
              </w:rPr>
            </w:pPr>
            <w:r>
              <w:rPr>
                <w:b/>
              </w:rPr>
              <w:t>Parties to Include during Fact Finding</w:t>
            </w:r>
          </w:p>
        </w:tc>
      </w:tr>
      <w:tr w:rsidR="00AD3D53" w:rsidRPr="00F73882" w14:paraId="3A659351" w14:textId="77777777" w:rsidTr="002032FA">
        <w:trPr>
          <w:trHeight w:val="766"/>
        </w:trPr>
        <w:tc>
          <w:tcPr>
            <w:tcW w:w="2784" w:type="dxa"/>
          </w:tcPr>
          <w:p w14:paraId="543ED1D1" w14:textId="77777777" w:rsidR="00AD3D53" w:rsidRPr="00F73882" w:rsidRDefault="00AD3D53" w:rsidP="002032FA">
            <w:pPr>
              <w:tabs>
                <w:tab w:val="left" w:pos="924"/>
              </w:tabs>
            </w:pPr>
            <w:r>
              <w:rPr>
                <w:rFonts w:cs="AppleSystemUIFont"/>
                <w:sz w:val="24"/>
                <w:szCs w:val="24"/>
              </w:rPr>
              <w:t>Green</w:t>
            </w:r>
          </w:p>
        </w:tc>
        <w:tc>
          <w:tcPr>
            <w:tcW w:w="12564" w:type="dxa"/>
          </w:tcPr>
          <w:p w14:paraId="090421FC" w14:textId="2AD212E8" w:rsidR="00AD3D53" w:rsidRPr="00F73882" w:rsidRDefault="00AD3D53" w:rsidP="002032FA">
            <w:r w:rsidRPr="00E87A7C">
              <w:t xml:space="preserve">Complaints that can be triaged simply. </w:t>
            </w:r>
            <w:r>
              <w:t>T</w:t>
            </w:r>
            <w:r w:rsidRPr="00E87A7C">
              <w:t>he action necessary to triage these sorts of complaints generally don’t require more than making a phone call or two to connect the dots where something has fallen between the cracks</w:t>
            </w:r>
          </w:p>
        </w:tc>
        <w:tc>
          <w:tcPr>
            <w:tcW w:w="5584" w:type="dxa"/>
          </w:tcPr>
          <w:p w14:paraId="7E9878F7" w14:textId="77777777" w:rsidR="00AD3D53" w:rsidRPr="00F73882" w:rsidRDefault="00AD3D53" w:rsidP="002032FA"/>
        </w:tc>
      </w:tr>
      <w:tr w:rsidR="00AD3D53" w:rsidRPr="00F73882" w14:paraId="12250663" w14:textId="77777777" w:rsidTr="002032FA">
        <w:trPr>
          <w:trHeight w:val="1026"/>
        </w:trPr>
        <w:tc>
          <w:tcPr>
            <w:tcW w:w="2784" w:type="dxa"/>
          </w:tcPr>
          <w:p w14:paraId="65D1605E" w14:textId="77777777" w:rsidR="00AD3D53" w:rsidRPr="00F73882" w:rsidRDefault="00AD3D53" w:rsidP="002032FA">
            <w:r>
              <w:t>Yellow</w:t>
            </w:r>
          </w:p>
        </w:tc>
        <w:tc>
          <w:tcPr>
            <w:tcW w:w="12564" w:type="dxa"/>
          </w:tcPr>
          <w:p w14:paraId="2C6ADD1A" w14:textId="0931472D" w:rsidR="00AD3D53" w:rsidRPr="00F73882" w:rsidRDefault="00AD3D53" w:rsidP="002032FA">
            <w:r>
              <w:t>Complaints that</w:t>
            </w:r>
            <w:r w:rsidRPr="00E87A7C">
              <w:t xml:space="preserve"> may be more complicated </w:t>
            </w:r>
            <w:r>
              <w:t xml:space="preserve">than green, they </w:t>
            </w:r>
            <w:r w:rsidRPr="00E87A7C">
              <w:t xml:space="preserve">will generally require a level of informal fact finding/investigation.  Yellow may include higher budget requirements or policy modifications. </w:t>
            </w:r>
          </w:p>
        </w:tc>
        <w:tc>
          <w:tcPr>
            <w:tcW w:w="5584" w:type="dxa"/>
          </w:tcPr>
          <w:p w14:paraId="1AB0F7F4" w14:textId="77777777" w:rsidR="00AD3D53" w:rsidRPr="00F73882" w:rsidRDefault="00AD3D53" w:rsidP="002032FA">
            <w:r w:rsidRPr="00E87A7C">
              <w:t>Yellow complaints may require some guidance and direction by OEHR subject matter experts and possibly attorneys.</w:t>
            </w:r>
          </w:p>
        </w:tc>
      </w:tr>
      <w:tr w:rsidR="00AD3D53" w:rsidRPr="00F73882" w14:paraId="1D3198AF" w14:textId="77777777" w:rsidTr="002032FA">
        <w:trPr>
          <w:trHeight w:val="1532"/>
        </w:trPr>
        <w:tc>
          <w:tcPr>
            <w:tcW w:w="2784" w:type="dxa"/>
          </w:tcPr>
          <w:p w14:paraId="3172C707" w14:textId="77777777" w:rsidR="00AD3D53" w:rsidRPr="00F73882" w:rsidRDefault="00AD3D53" w:rsidP="002032FA">
            <w:r>
              <w:t xml:space="preserve">Red </w:t>
            </w:r>
          </w:p>
        </w:tc>
        <w:tc>
          <w:tcPr>
            <w:tcW w:w="12564" w:type="dxa"/>
          </w:tcPr>
          <w:p w14:paraId="1B4A20D3" w14:textId="2FFC7AC1" w:rsidR="00AD3D53" w:rsidRPr="00F73882" w:rsidRDefault="00AD3D53" w:rsidP="002032FA">
            <w:r>
              <w:t>These</w:t>
            </w:r>
            <w:r w:rsidRPr="00E87A7C">
              <w:t xml:space="preserve"> complaints are very complicated and should be escalated to </w:t>
            </w:r>
            <w:r>
              <w:t xml:space="preserve">the </w:t>
            </w:r>
            <w:r w:rsidRPr="00E87A7C">
              <w:t xml:space="preserve">bureau advice attorney or to a manager in </w:t>
            </w:r>
            <w:r>
              <w:t xml:space="preserve">the </w:t>
            </w:r>
            <w:r w:rsidRPr="00E87A7C">
              <w:t xml:space="preserve">bureau who can bring it to </w:t>
            </w:r>
            <w:r>
              <w:t>the</w:t>
            </w:r>
            <w:r w:rsidRPr="00E87A7C">
              <w:t xml:space="preserve"> City attorney.  </w:t>
            </w:r>
            <w:r>
              <w:t>The</w:t>
            </w:r>
            <w:r w:rsidRPr="00E87A7C">
              <w:t xml:space="preserve"> ADA Title II or Civil Rights Title VI Coordinator should still participate in the process</w:t>
            </w:r>
            <w:r>
              <w:t xml:space="preserve"> but is not </w:t>
            </w:r>
            <w:r w:rsidRPr="00E87A7C">
              <w:t>expected to have the subject matter expertise to manage a complaint of this nature, multiple legal and subject matter experts are involved.</w:t>
            </w:r>
          </w:p>
        </w:tc>
        <w:tc>
          <w:tcPr>
            <w:tcW w:w="5584" w:type="dxa"/>
          </w:tcPr>
          <w:p w14:paraId="05DA0ADC" w14:textId="77777777" w:rsidR="00AD3D53" w:rsidRDefault="00AD3D53" w:rsidP="002032FA">
            <w:r>
              <w:t>B</w:t>
            </w:r>
            <w:r w:rsidRPr="00E87A7C">
              <w:t>ureau City attorney</w:t>
            </w:r>
            <w:r>
              <w:t>.</w:t>
            </w:r>
          </w:p>
          <w:p w14:paraId="18DF42FC" w14:textId="77777777" w:rsidR="00AD3D53" w:rsidRDefault="00AD3D53" w:rsidP="002032FA"/>
          <w:p w14:paraId="481985B4" w14:textId="77777777" w:rsidR="00AD3D53" w:rsidRDefault="00AD3D53" w:rsidP="002032FA">
            <w:r w:rsidRPr="00E87A7C">
              <w:t>ADA Title II or Civil Rights Title VI Coordinator</w:t>
            </w:r>
            <w:r>
              <w:t>.</w:t>
            </w:r>
          </w:p>
          <w:p w14:paraId="162B2129" w14:textId="77777777" w:rsidR="00AD3D53" w:rsidRDefault="00AD3D53" w:rsidP="002032FA"/>
          <w:p w14:paraId="0FA3E269" w14:textId="77777777" w:rsidR="00AD3D53" w:rsidRPr="00F73882" w:rsidRDefault="00AD3D53" w:rsidP="002032FA">
            <w:r>
              <w:t xml:space="preserve">Subject Matter Experts. </w:t>
            </w:r>
          </w:p>
        </w:tc>
      </w:tr>
    </w:tbl>
    <w:p w14:paraId="722F84D0" w14:textId="0B049E33" w:rsidR="00824660" w:rsidRDefault="00824660" w:rsidP="00824660"/>
    <w:tbl>
      <w:tblPr>
        <w:tblStyle w:val="TableGrid"/>
        <w:tblpPr w:leftFromText="180" w:rightFromText="180" w:vertAnchor="page" w:horzAnchor="margin" w:tblpXSpec="center" w:tblpY="3145"/>
        <w:tblW w:w="0" w:type="auto"/>
        <w:tblLook w:val="04A0" w:firstRow="1" w:lastRow="0" w:firstColumn="1" w:lastColumn="0" w:noHBand="0" w:noVBand="1"/>
        <w:tblDescription w:val="Table of complaint process"/>
      </w:tblPr>
      <w:tblGrid>
        <w:gridCol w:w="6485"/>
        <w:gridCol w:w="4808"/>
        <w:gridCol w:w="2195"/>
        <w:gridCol w:w="5497"/>
      </w:tblGrid>
      <w:tr w:rsidR="00824660" w:rsidRPr="00F73882" w14:paraId="43950786" w14:textId="77777777" w:rsidTr="00AD3D53">
        <w:trPr>
          <w:cantSplit/>
          <w:tblHeader/>
        </w:trPr>
        <w:tc>
          <w:tcPr>
            <w:tcW w:w="6485" w:type="dxa"/>
            <w:shd w:val="clear" w:color="auto" w:fill="D9E2F3" w:themeFill="accent1" w:themeFillTint="33"/>
          </w:tcPr>
          <w:p w14:paraId="49C57389" w14:textId="77777777" w:rsidR="00824660" w:rsidRPr="00F73882" w:rsidRDefault="00824660" w:rsidP="00AD3D53">
            <w:pPr>
              <w:jc w:val="center"/>
              <w:rPr>
                <w:b/>
              </w:rPr>
            </w:pPr>
            <w:r>
              <w:rPr>
                <w:b/>
              </w:rPr>
              <w:lastRenderedPageBreak/>
              <w:t>Action</w:t>
            </w:r>
          </w:p>
        </w:tc>
        <w:tc>
          <w:tcPr>
            <w:tcW w:w="4808" w:type="dxa"/>
            <w:shd w:val="clear" w:color="auto" w:fill="D9E2F3" w:themeFill="accent1" w:themeFillTint="33"/>
          </w:tcPr>
          <w:p w14:paraId="36EE2457" w14:textId="77777777" w:rsidR="00824660" w:rsidRPr="00F73882" w:rsidRDefault="00824660" w:rsidP="00AD3D53">
            <w:pPr>
              <w:jc w:val="center"/>
              <w:rPr>
                <w:b/>
              </w:rPr>
            </w:pPr>
            <w:r>
              <w:rPr>
                <w:b/>
              </w:rPr>
              <w:t>Summary of Action</w:t>
            </w:r>
          </w:p>
        </w:tc>
        <w:tc>
          <w:tcPr>
            <w:tcW w:w="2195" w:type="dxa"/>
            <w:shd w:val="clear" w:color="auto" w:fill="D9E2F3" w:themeFill="accent1" w:themeFillTint="33"/>
          </w:tcPr>
          <w:p w14:paraId="68F4F8B7" w14:textId="77777777" w:rsidR="00824660" w:rsidRPr="00F73882" w:rsidRDefault="00824660" w:rsidP="00AD3D53">
            <w:pPr>
              <w:jc w:val="center"/>
              <w:rPr>
                <w:b/>
              </w:rPr>
            </w:pPr>
            <w:r>
              <w:rPr>
                <w:b/>
              </w:rPr>
              <w:t>Timeline</w:t>
            </w:r>
          </w:p>
        </w:tc>
        <w:tc>
          <w:tcPr>
            <w:tcW w:w="5497" w:type="dxa"/>
            <w:shd w:val="clear" w:color="auto" w:fill="D9E2F3" w:themeFill="accent1" w:themeFillTint="33"/>
          </w:tcPr>
          <w:p w14:paraId="18F67FE4" w14:textId="77777777" w:rsidR="00824660" w:rsidRDefault="00824660" w:rsidP="00AD3D53">
            <w:pPr>
              <w:jc w:val="center"/>
              <w:rPr>
                <w:b/>
              </w:rPr>
            </w:pPr>
            <w:r>
              <w:rPr>
                <w:b/>
              </w:rPr>
              <w:t xml:space="preserve">Assigned To. </w:t>
            </w:r>
          </w:p>
        </w:tc>
      </w:tr>
      <w:tr w:rsidR="00824660" w:rsidRPr="00F73882" w14:paraId="056F2374" w14:textId="77777777" w:rsidTr="00AD3D53">
        <w:tc>
          <w:tcPr>
            <w:tcW w:w="6485" w:type="dxa"/>
          </w:tcPr>
          <w:p w14:paraId="474E7446" w14:textId="77777777" w:rsidR="00824660" w:rsidRPr="00F73882" w:rsidRDefault="00824660" w:rsidP="00AD3D53">
            <w:pPr>
              <w:tabs>
                <w:tab w:val="left" w:pos="924"/>
              </w:tabs>
            </w:pPr>
            <w:r w:rsidRPr="0025441F">
              <w:t>Complaint Made</w:t>
            </w:r>
          </w:p>
        </w:tc>
        <w:tc>
          <w:tcPr>
            <w:tcW w:w="4808" w:type="dxa"/>
          </w:tcPr>
          <w:p w14:paraId="27CF7E0B" w14:textId="77777777" w:rsidR="00824660" w:rsidRPr="00F73882" w:rsidRDefault="00824660" w:rsidP="00AD3D53">
            <w:r>
              <w:t>C</w:t>
            </w:r>
            <w:r w:rsidRPr="0025441F">
              <w:t>omplaint filed with the bureau, office, division, or City agency that is responsible for the facility, program, service, benefit, activity, event, communications, or contract or agreement, or where the situation, practice, or action implicated in the complaint took place</w:t>
            </w:r>
            <w:r>
              <w:t xml:space="preserve">. </w:t>
            </w:r>
            <w:r w:rsidRPr="0025441F">
              <w:t xml:space="preserve"> </w:t>
            </w:r>
          </w:p>
        </w:tc>
        <w:tc>
          <w:tcPr>
            <w:tcW w:w="2195" w:type="dxa"/>
          </w:tcPr>
          <w:p w14:paraId="5E2332F4" w14:textId="77777777" w:rsidR="00824660" w:rsidRPr="00F73882" w:rsidRDefault="00824660" w:rsidP="00AD3D53">
            <w:r>
              <w:t xml:space="preserve">Filed within </w:t>
            </w:r>
            <w:r w:rsidRPr="0025441F">
              <w:t>one hundred eighty (180) days of the alleged discrimination or when the alleged discrimination became known to the complainant</w:t>
            </w:r>
          </w:p>
        </w:tc>
        <w:tc>
          <w:tcPr>
            <w:tcW w:w="5497" w:type="dxa"/>
          </w:tcPr>
          <w:p w14:paraId="07669502" w14:textId="77777777" w:rsidR="00824660" w:rsidRDefault="00824660" w:rsidP="00AD3D53">
            <w:r>
              <w:t xml:space="preserve">Complainant </w:t>
            </w:r>
          </w:p>
        </w:tc>
      </w:tr>
      <w:tr w:rsidR="00824660" w:rsidRPr="00F73882" w14:paraId="42F3B96A" w14:textId="77777777" w:rsidTr="00AD3D53">
        <w:tc>
          <w:tcPr>
            <w:tcW w:w="6485" w:type="dxa"/>
          </w:tcPr>
          <w:p w14:paraId="13AFD5B0" w14:textId="77777777" w:rsidR="00824660" w:rsidRPr="00F73882" w:rsidRDefault="00824660" w:rsidP="00AD3D53">
            <w:r>
              <w:t>Complaint Tracking Number</w:t>
            </w:r>
          </w:p>
        </w:tc>
        <w:tc>
          <w:tcPr>
            <w:tcW w:w="4808" w:type="dxa"/>
          </w:tcPr>
          <w:p w14:paraId="5BA56B6C" w14:textId="77777777" w:rsidR="00824660" w:rsidRPr="00F73882" w:rsidRDefault="00824660" w:rsidP="00AD3D53">
            <w:r w:rsidRPr="0025441F">
              <w:t>The responsible bureau will assign the complaint a tracking number upon receipt of the complaint.</w:t>
            </w:r>
          </w:p>
        </w:tc>
        <w:tc>
          <w:tcPr>
            <w:tcW w:w="2195" w:type="dxa"/>
          </w:tcPr>
          <w:p w14:paraId="7416E7B2" w14:textId="77777777" w:rsidR="00824660" w:rsidRPr="00F73882" w:rsidRDefault="00824660" w:rsidP="00AD3D53">
            <w:r>
              <w:t>Day 1 of Timeline</w:t>
            </w:r>
          </w:p>
        </w:tc>
        <w:tc>
          <w:tcPr>
            <w:tcW w:w="5497" w:type="dxa"/>
          </w:tcPr>
          <w:p w14:paraId="2DC39339" w14:textId="77777777" w:rsidR="00824660" w:rsidRDefault="00824660" w:rsidP="00AD3D53">
            <w:r>
              <w:t>Intake Person</w:t>
            </w:r>
          </w:p>
        </w:tc>
      </w:tr>
      <w:tr w:rsidR="00824660" w:rsidRPr="00F73882" w14:paraId="5706F641" w14:textId="77777777" w:rsidTr="00AD3D53">
        <w:tc>
          <w:tcPr>
            <w:tcW w:w="6485" w:type="dxa"/>
          </w:tcPr>
          <w:p w14:paraId="1B1CEAD5" w14:textId="77777777" w:rsidR="00824660" w:rsidRPr="00F73882" w:rsidRDefault="00824660" w:rsidP="00AD3D53">
            <w:r>
              <w:t xml:space="preserve">Denied or Accepted Notification to Complainant. </w:t>
            </w:r>
          </w:p>
        </w:tc>
        <w:tc>
          <w:tcPr>
            <w:tcW w:w="4808" w:type="dxa"/>
          </w:tcPr>
          <w:p w14:paraId="3F69A041" w14:textId="77777777" w:rsidR="00824660" w:rsidRPr="00F73882" w:rsidRDefault="00824660" w:rsidP="00AD3D53">
            <w:r>
              <w:t xml:space="preserve">Complaint is denied or accepted </w:t>
            </w:r>
            <w:r w:rsidRPr="003F554A">
              <w:t>to pursue an investigation</w:t>
            </w:r>
            <w:r>
              <w:t xml:space="preserve">.  Includes </w:t>
            </w:r>
            <w:r w:rsidRPr="003F554A">
              <w:t>the tracking number a</w:t>
            </w:r>
            <w:r>
              <w:t xml:space="preserve">s </w:t>
            </w:r>
            <w:r w:rsidRPr="003F554A">
              <w:t>well as that they have the right to file complaints with other local, state, or federal agencies, or the courts.</w:t>
            </w:r>
          </w:p>
        </w:tc>
        <w:tc>
          <w:tcPr>
            <w:tcW w:w="2195" w:type="dxa"/>
          </w:tcPr>
          <w:p w14:paraId="5235C444" w14:textId="77777777" w:rsidR="00824660" w:rsidRPr="00F73882" w:rsidRDefault="00824660" w:rsidP="00AD3D53">
            <w:r>
              <w:t xml:space="preserve">Within </w:t>
            </w:r>
            <w:r w:rsidRPr="0025441F">
              <w:t>15 days of receipt, that the complaint is accepted to pursue an investigation, and provide the tracking number</w:t>
            </w:r>
            <w:r>
              <w:t>.</w:t>
            </w:r>
          </w:p>
        </w:tc>
        <w:tc>
          <w:tcPr>
            <w:tcW w:w="5497" w:type="dxa"/>
          </w:tcPr>
          <w:p w14:paraId="73B738B2" w14:textId="77777777" w:rsidR="00824660" w:rsidRDefault="00824660" w:rsidP="00AD3D53">
            <w:r>
              <w:t>Communication Person</w:t>
            </w:r>
          </w:p>
        </w:tc>
      </w:tr>
      <w:tr w:rsidR="00824660" w:rsidRPr="00F73882" w14:paraId="1D6D87C6" w14:textId="77777777" w:rsidTr="00AD3D53">
        <w:tc>
          <w:tcPr>
            <w:tcW w:w="6485" w:type="dxa"/>
          </w:tcPr>
          <w:p w14:paraId="4122038A" w14:textId="77777777" w:rsidR="00824660" w:rsidRPr="00F73882" w:rsidRDefault="00824660" w:rsidP="00AD3D53">
            <w:r>
              <w:t>Notification to ADA Title II Manager</w:t>
            </w:r>
          </w:p>
        </w:tc>
        <w:tc>
          <w:tcPr>
            <w:tcW w:w="4808" w:type="dxa"/>
          </w:tcPr>
          <w:p w14:paraId="50EE9C80" w14:textId="77777777" w:rsidR="00824660" w:rsidRPr="00F73882" w:rsidRDefault="00824660" w:rsidP="00AD3D53">
            <w:r>
              <w:t>Send a</w:t>
            </w:r>
            <w:r w:rsidRPr="003F554A">
              <w:t xml:space="preserve"> copy of the complaint and Notice of </w:t>
            </w:r>
            <w:r>
              <w:t xml:space="preserve">Denial or </w:t>
            </w:r>
            <w:r w:rsidRPr="003F554A">
              <w:t>Acceptance of the complaint.</w:t>
            </w:r>
          </w:p>
        </w:tc>
        <w:tc>
          <w:tcPr>
            <w:tcW w:w="2195" w:type="dxa"/>
          </w:tcPr>
          <w:p w14:paraId="6CF6AC65" w14:textId="77777777" w:rsidR="00824660" w:rsidRPr="00F73882" w:rsidRDefault="00824660" w:rsidP="00AD3D53">
            <w:r>
              <w:t xml:space="preserve">Within </w:t>
            </w:r>
            <w:r w:rsidRPr="0025441F">
              <w:t>15 days of receipt, that the complaint is accepted to pursue an investigation, and provide the tracking number</w:t>
            </w:r>
            <w:r>
              <w:t>.</w:t>
            </w:r>
          </w:p>
        </w:tc>
        <w:tc>
          <w:tcPr>
            <w:tcW w:w="5497" w:type="dxa"/>
          </w:tcPr>
          <w:p w14:paraId="4E408CFC" w14:textId="77777777" w:rsidR="00824660" w:rsidRDefault="00824660" w:rsidP="00AD3D53">
            <w:r>
              <w:t>Communication Person</w:t>
            </w:r>
          </w:p>
        </w:tc>
      </w:tr>
      <w:tr w:rsidR="00824660" w:rsidRPr="00F73882" w14:paraId="71D637B1" w14:textId="77777777" w:rsidTr="00AD3D53">
        <w:tc>
          <w:tcPr>
            <w:tcW w:w="6485" w:type="dxa"/>
          </w:tcPr>
          <w:p w14:paraId="0DFE83CF" w14:textId="77777777" w:rsidR="00824660" w:rsidRDefault="00824660" w:rsidP="00AD3D53">
            <w:r>
              <w:t>Investigation/Information Gathering</w:t>
            </w:r>
          </w:p>
        </w:tc>
        <w:tc>
          <w:tcPr>
            <w:tcW w:w="4808" w:type="dxa"/>
          </w:tcPr>
          <w:p w14:paraId="78135D9C" w14:textId="77777777" w:rsidR="00824660" w:rsidRDefault="00824660" w:rsidP="00AD3D53">
            <w:r>
              <w:t xml:space="preserve">Interviews – finds out what occurred, </w:t>
            </w:r>
            <w:r w:rsidRPr="00F73882">
              <w:t>identifi</w:t>
            </w:r>
            <w:r>
              <w:t>es</w:t>
            </w:r>
            <w:r w:rsidRPr="00F73882">
              <w:t xml:space="preserve"> regulatory guidelines, applicable laws, regulations; crosswalk</w:t>
            </w:r>
            <w:r>
              <w:t>s</w:t>
            </w:r>
            <w:r w:rsidRPr="00F73882">
              <w:t xml:space="preserve"> discriminatory theory and regulatory guidelines with details of complaint; identif</w:t>
            </w:r>
            <w:r>
              <w:t>ies</w:t>
            </w:r>
            <w:r w:rsidRPr="00F73882">
              <w:t xml:space="preserve"> relevant policies and procedures, etc.; brainstorm</w:t>
            </w:r>
            <w:r>
              <w:t>s</w:t>
            </w:r>
            <w:r w:rsidRPr="00F73882">
              <w:t xml:space="preserve"> possible corrective actions or improvements</w:t>
            </w:r>
            <w:r>
              <w:t>.</w:t>
            </w:r>
          </w:p>
        </w:tc>
        <w:tc>
          <w:tcPr>
            <w:tcW w:w="2195" w:type="dxa"/>
          </w:tcPr>
          <w:p w14:paraId="19FB1978" w14:textId="77777777" w:rsidR="00824660" w:rsidRDefault="00824660" w:rsidP="00AD3D53"/>
        </w:tc>
        <w:tc>
          <w:tcPr>
            <w:tcW w:w="5497" w:type="dxa"/>
          </w:tcPr>
          <w:p w14:paraId="510CC45E" w14:textId="77777777" w:rsidR="00824660" w:rsidRDefault="00824660" w:rsidP="00AD3D53">
            <w:r>
              <w:t>Investigator</w:t>
            </w:r>
          </w:p>
        </w:tc>
      </w:tr>
      <w:tr w:rsidR="00824660" w:rsidRPr="00F73882" w14:paraId="1A5A1ED4" w14:textId="77777777" w:rsidTr="00AD3D53">
        <w:tc>
          <w:tcPr>
            <w:tcW w:w="6485" w:type="dxa"/>
          </w:tcPr>
          <w:p w14:paraId="42237092" w14:textId="77777777" w:rsidR="00824660" w:rsidRPr="00F73882" w:rsidRDefault="00824660" w:rsidP="00AD3D53">
            <w:r>
              <w:t xml:space="preserve">Complete Investigation/Information Gathering/Fact Finding </w:t>
            </w:r>
          </w:p>
        </w:tc>
        <w:tc>
          <w:tcPr>
            <w:tcW w:w="4808" w:type="dxa"/>
          </w:tcPr>
          <w:p w14:paraId="64A260D6" w14:textId="77777777" w:rsidR="00824660" w:rsidRPr="00F73882" w:rsidRDefault="00824660" w:rsidP="00AD3D53">
            <w:r>
              <w:t>Liaison to report back to OEHR and Council - copied on all communication and investigation correspondence.</w:t>
            </w:r>
          </w:p>
        </w:tc>
        <w:tc>
          <w:tcPr>
            <w:tcW w:w="2195" w:type="dxa"/>
          </w:tcPr>
          <w:p w14:paraId="4469DCBD" w14:textId="77777777" w:rsidR="00824660" w:rsidRPr="00F73882" w:rsidRDefault="00824660" w:rsidP="00AD3D53">
            <w:r>
              <w:t xml:space="preserve">Within 60 days after written notes of acceptance of the complaint. </w:t>
            </w:r>
          </w:p>
        </w:tc>
        <w:tc>
          <w:tcPr>
            <w:tcW w:w="5497" w:type="dxa"/>
          </w:tcPr>
          <w:p w14:paraId="2C462730" w14:textId="77777777" w:rsidR="00824660" w:rsidRDefault="00824660" w:rsidP="00AD3D53">
            <w:r>
              <w:t>Investigator</w:t>
            </w:r>
          </w:p>
        </w:tc>
      </w:tr>
      <w:tr w:rsidR="00824660" w:rsidRPr="00F73882" w14:paraId="68F68B04" w14:textId="77777777" w:rsidTr="00AD3D53">
        <w:tc>
          <w:tcPr>
            <w:tcW w:w="6485" w:type="dxa"/>
          </w:tcPr>
          <w:p w14:paraId="0E5D5BF2" w14:textId="77777777" w:rsidR="00824660" w:rsidRDefault="00824660" w:rsidP="00AD3D53">
            <w:r>
              <w:t>Findings and draft response to ADA Title II Manager</w:t>
            </w:r>
          </w:p>
        </w:tc>
        <w:tc>
          <w:tcPr>
            <w:tcW w:w="4808" w:type="dxa"/>
          </w:tcPr>
          <w:p w14:paraId="2E9D1DD8" w14:textId="77777777" w:rsidR="00824660" w:rsidRDefault="00824660" w:rsidP="00AD3D53">
            <w:r>
              <w:t xml:space="preserve">Summary of findings and draft response to complainant. </w:t>
            </w:r>
          </w:p>
        </w:tc>
        <w:tc>
          <w:tcPr>
            <w:tcW w:w="2195" w:type="dxa"/>
          </w:tcPr>
          <w:p w14:paraId="5C8EB385" w14:textId="77777777" w:rsidR="00824660" w:rsidRDefault="00824660" w:rsidP="00AD3D53">
            <w:r>
              <w:t>Within 5 days of complaint investigation ending.</w:t>
            </w:r>
          </w:p>
        </w:tc>
        <w:tc>
          <w:tcPr>
            <w:tcW w:w="5497" w:type="dxa"/>
          </w:tcPr>
          <w:p w14:paraId="6989DD2A" w14:textId="77777777" w:rsidR="00824660" w:rsidRDefault="00824660" w:rsidP="00AD3D53">
            <w:r>
              <w:t>Communication Person</w:t>
            </w:r>
          </w:p>
        </w:tc>
      </w:tr>
      <w:tr w:rsidR="00824660" w:rsidRPr="00F73882" w14:paraId="5A892009" w14:textId="77777777" w:rsidTr="00AD3D53">
        <w:tc>
          <w:tcPr>
            <w:tcW w:w="6485" w:type="dxa"/>
          </w:tcPr>
          <w:p w14:paraId="554014D5" w14:textId="77777777" w:rsidR="00824660" w:rsidRDefault="00824660" w:rsidP="00AD3D53">
            <w:r>
              <w:t>Comments by ADA Title II Manager</w:t>
            </w:r>
          </w:p>
        </w:tc>
        <w:tc>
          <w:tcPr>
            <w:tcW w:w="4808" w:type="dxa"/>
          </w:tcPr>
          <w:p w14:paraId="166C1D4D" w14:textId="77777777" w:rsidR="00824660" w:rsidRDefault="00824660" w:rsidP="00AD3D53">
            <w:r>
              <w:t xml:space="preserve">Review summary of finding and draft response to complainant and provide feedback: </w:t>
            </w:r>
            <w:r w:rsidRPr="00C33F88">
              <w:t>review and comment</w:t>
            </w:r>
            <w:r>
              <w:t>.</w:t>
            </w:r>
          </w:p>
        </w:tc>
        <w:tc>
          <w:tcPr>
            <w:tcW w:w="2195" w:type="dxa"/>
          </w:tcPr>
          <w:p w14:paraId="4CACD85B" w14:textId="77777777" w:rsidR="00824660" w:rsidRDefault="00824660" w:rsidP="00AD3D53">
            <w:r>
              <w:t>Within 5 days of receiving findings and Draft response</w:t>
            </w:r>
          </w:p>
        </w:tc>
        <w:tc>
          <w:tcPr>
            <w:tcW w:w="5497" w:type="dxa"/>
          </w:tcPr>
          <w:p w14:paraId="1DF4FC8B" w14:textId="77777777" w:rsidR="00824660" w:rsidRDefault="00824660" w:rsidP="00AD3D53">
            <w:r>
              <w:t>ADA Title II Manager</w:t>
            </w:r>
          </w:p>
        </w:tc>
      </w:tr>
      <w:tr w:rsidR="00824660" w:rsidRPr="00F73882" w14:paraId="2D7C6276" w14:textId="77777777" w:rsidTr="00AD3D53">
        <w:tc>
          <w:tcPr>
            <w:tcW w:w="6485" w:type="dxa"/>
          </w:tcPr>
          <w:p w14:paraId="599ED44E" w14:textId="77777777" w:rsidR="00824660" w:rsidRDefault="00824660" w:rsidP="00AD3D53">
            <w:r>
              <w:t xml:space="preserve">Findings communicated to Complainant. </w:t>
            </w:r>
          </w:p>
        </w:tc>
        <w:tc>
          <w:tcPr>
            <w:tcW w:w="4808" w:type="dxa"/>
          </w:tcPr>
          <w:p w14:paraId="3D43A8C6" w14:textId="77777777" w:rsidR="00824660" w:rsidRDefault="00824660" w:rsidP="00AD3D53">
            <w:r>
              <w:t xml:space="preserve">Send finding to complainant. </w:t>
            </w:r>
          </w:p>
        </w:tc>
        <w:tc>
          <w:tcPr>
            <w:tcW w:w="2195" w:type="dxa"/>
          </w:tcPr>
          <w:p w14:paraId="67AE981B" w14:textId="77777777" w:rsidR="00824660" w:rsidRDefault="00824660" w:rsidP="00AD3D53">
            <w:r>
              <w:t>Within 6 days of receiving findings and Draft response</w:t>
            </w:r>
          </w:p>
        </w:tc>
        <w:tc>
          <w:tcPr>
            <w:tcW w:w="5497" w:type="dxa"/>
          </w:tcPr>
          <w:p w14:paraId="300E3E64" w14:textId="77777777" w:rsidR="00824660" w:rsidRDefault="00824660" w:rsidP="00AD3D53">
            <w:r>
              <w:t>Communication Person</w:t>
            </w:r>
          </w:p>
        </w:tc>
      </w:tr>
    </w:tbl>
    <w:p w14:paraId="17DA246F" w14:textId="77777777" w:rsidR="00C33F88" w:rsidRDefault="00C33F88" w:rsidP="00824660">
      <w:pPr>
        <w:jc w:val="center"/>
      </w:pPr>
      <w:r w:rsidRPr="00C33F88">
        <w:rPr>
          <w:b/>
          <w:sz w:val="32"/>
          <w:szCs w:val="32"/>
        </w:rPr>
        <w:t xml:space="preserve">Complaint Process </w:t>
      </w:r>
      <w:r>
        <w:rPr>
          <w:b/>
          <w:sz w:val="32"/>
          <w:szCs w:val="32"/>
        </w:rPr>
        <w:t>– TimeLine of Actions</w:t>
      </w:r>
    </w:p>
    <w:p w14:paraId="26B46874" w14:textId="4BF5D793" w:rsidR="00C33F88" w:rsidRDefault="00AD3D53">
      <w:pPr>
        <w:rPr>
          <w:b/>
        </w:rPr>
      </w:pPr>
      <w:r>
        <w:rPr>
          <w:b/>
        </w:rPr>
        <w:t>Complaint Process</w:t>
      </w:r>
    </w:p>
    <w:p w14:paraId="315BF4AD" w14:textId="77777777" w:rsidR="00AD3D53" w:rsidRDefault="00AD3D53"/>
    <w:sectPr w:rsidR="00AD3D53" w:rsidSect="00824660">
      <w:headerReference w:type="even" r:id="rId6"/>
      <w:headerReference w:type="default" r:id="rId7"/>
      <w:footerReference w:type="even" r:id="rId8"/>
      <w:footerReference w:type="default" r:id="rId9"/>
      <w:headerReference w:type="first" r:id="rId10"/>
      <w:footerReference w:type="first" r:id="rId11"/>
      <w:pgSz w:w="23811" w:h="16838" w:orient="landscape"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C748D" w14:textId="77777777" w:rsidR="00505684" w:rsidRDefault="00505684" w:rsidP="004944B7">
      <w:pPr>
        <w:spacing w:after="0" w:line="240" w:lineRule="auto"/>
      </w:pPr>
      <w:r>
        <w:separator/>
      </w:r>
    </w:p>
  </w:endnote>
  <w:endnote w:type="continuationSeparator" w:id="0">
    <w:p w14:paraId="13EBF195" w14:textId="77777777" w:rsidR="00505684" w:rsidRDefault="00505684" w:rsidP="00494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9D470" w14:textId="77777777" w:rsidR="00C8188E" w:rsidRDefault="00C818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3548F" w14:textId="77777777" w:rsidR="00824660" w:rsidRDefault="00824660">
    <w:pPr>
      <w:pStyle w:val="Footer"/>
    </w:pPr>
    <w:r>
      <w:rPr>
        <w:noProof/>
      </w:rPr>
      <w:drawing>
        <wp:anchor distT="0" distB="0" distL="114300" distR="114300" simplePos="0" relativeHeight="251657728" behindDoc="1" locked="0" layoutInCell="1" allowOverlap="1" wp14:anchorId="29340F19" wp14:editId="4D340208">
          <wp:simplePos x="0" y="0"/>
          <wp:positionH relativeFrom="page">
            <wp:posOffset>4607626</wp:posOffset>
          </wp:positionH>
          <wp:positionV relativeFrom="page">
            <wp:posOffset>9969112</wp:posOffset>
          </wp:positionV>
          <wp:extent cx="6391656" cy="46634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391656" cy="46634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FB928" w14:textId="77777777" w:rsidR="00C8188E" w:rsidRDefault="00C81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4306D" w14:textId="77777777" w:rsidR="00505684" w:rsidRDefault="00505684" w:rsidP="004944B7">
      <w:pPr>
        <w:spacing w:after="0" w:line="240" w:lineRule="auto"/>
      </w:pPr>
      <w:r>
        <w:separator/>
      </w:r>
    </w:p>
  </w:footnote>
  <w:footnote w:type="continuationSeparator" w:id="0">
    <w:p w14:paraId="2AF77E95" w14:textId="77777777" w:rsidR="00505684" w:rsidRDefault="00505684" w:rsidP="00494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8242" w14:textId="77777777" w:rsidR="00C8188E" w:rsidRDefault="00C818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3157" w14:textId="591C1875" w:rsidR="004944B7" w:rsidRDefault="004944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98F6" w14:textId="77777777" w:rsidR="00C8188E" w:rsidRDefault="00C818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882"/>
    <w:rsid w:val="000A09C0"/>
    <w:rsid w:val="001B0736"/>
    <w:rsid w:val="001F0734"/>
    <w:rsid w:val="002032FA"/>
    <w:rsid w:val="002409CF"/>
    <w:rsid w:val="0025441F"/>
    <w:rsid w:val="00344546"/>
    <w:rsid w:val="003F554A"/>
    <w:rsid w:val="00425B35"/>
    <w:rsid w:val="004370C1"/>
    <w:rsid w:val="00491A43"/>
    <w:rsid w:val="004944B7"/>
    <w:rsid w:val="00505684"/>
    <w:rsid w:val="005A361F"/>
    <w:rsid w:val="00624463"/>
    <w:rsid w:val="00674927"/>
    <w:rsid w:val="006E5B9A"/>
    <w:rsid w:val="007B566F"/>
    <w:rsid w:val="008051B4"/>
    <w:rsid w:val="00824660"/>
    <w:rsid w:val="009F4D1F"/>
    <w:rsid w:val="00A57998"/>
    <w:rsid w:val="00A84479"/>
    <w:rsid w:val="00AD3D53"/>
    <w:rsid w:val="00AD7E82"/>
    <w:rsid w:val="00B43831"/>
    <w:rsid w:val="00C33F88"/>
    <w:rsid w:val="00C8188E"/>
    <w:rsid w:val="00DA65C8"/>
    <w:rsid w:val="00DE3060"/>
    <w:rsid w:val="00E25300"/>
    <w:rsid w:val="00E87A7C"/>
    <w:rsid w:val="00F73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AD828"/>
  <w15:chartTrackingRefBased/>
  <w15:docId w15:val="{48C95A52-C140-41B2-B5D5-F5C783D8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3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4B7"/>
  </w:style>
  <w:style w:type="paragraph" w:styleId="Footer">
    <w:name w:val="footer"/>
    <w:basedOn w:val="Normal"/>
    <w:link w:val="FooterChar"/>
    <w:uiPriority w:val="99"/>
    <w:unhideWhenUsed/>
    <w:rsid w:val="00494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4B7"/>
  </w:style>
  <w:style w:type="paragraph" w:styleId="BalloonText">
    <w:name w:val="Balloon Text"/>
    <w:basedOn w:val="Normal"/>
    <w:link w:val="BalloonTextChar"/>
    <w:uiPriority w:val="99"/>
    <w:semiHidden/>
    <w:unhideWhenUsed/>
    <w:rsid w:val="00E253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3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Shyvonne</dc:creator>
  <cp:keywords/>
  <dc:description/>
  <cp:lastModifiedBy>Cheron, Nickole</cp:lastModifiedBy>
  <cp:revision>2</cp:revision>
  <dcterms:created xsi:type="dcterms:W3CDTF">2022-03-09T19:55:00Z</dcterms:created>
  <dcterms:modified xsi:type="dcterms:W3CDTF">2022-03-09T19:55:00Z</dcterms:modified>
</cp:coreProperties>
</file>